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9B1DB" w14:textId="77777777" w:rsidR="00E93BE0" w:rsidRDefault="00E93BE0" w:rsidP="00E93BE0">
      <w:pPr>
        <w:spacing w:before="60" w:after="60" w:line="288" w:lineRule="auto"/>
        <w:rPr>
          <w:rFonts w:ascii=".VnArial" w:hAnsi=".VnArial"/>
        </w:rPr>
      </w:pPr>
      <w:r>
        <w:rPr>
          <w:noProof/>
        </w:rPr>
        <w:drawing>
          <wp:anchor distT="0" distB="0" distL="114300" distR="114300" simplePos="0" relativeHeight="251660288" behindDoc="0" locked="0" layoutInCell="1" allowOverlap="1" wp14:anchorId="2AE51232" wp14:editId="30F7CF1F">
            <wp:simplePos x="0" y="0"/>
            <wp:positionH relativeFrom="margin">
              <wp:posOffset>146236</wp:posOffset>
            </wp:positionH>
            <wp:positionV relativeFrom="paragraph">
              <wp:posOffset>-235995</wp:posOffset>
            </wp:positionV>
            <wp:extent cx="1082173" cy="915604"/>
            <wp:effectExtent l="0" t="0" r="3810" b="0"/>
            <wp:wrapNone/>
            <wp:docPr id="1033001291" name="Picture 7"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01291" name="Picture 7" descr="A green and blu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l="17230" t="13922" r="18803" b="9502"/>
                    <a:stretch>
                      <a:fillRect/>
                    </a:stretch>
                  </pic:blipFill>
                  <pic:spPr bwMode="auto">
                    <a:xfrm>
                      <a:off x="0" y="0"/>
                      <a:ext cx="1085054" cy="9180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0"/>
        </w:rPr>
        <mc:AlternateContent>
          <mc:Choice Requires="wps">
            <w:drawing>
              <wp:anchor distT="0" distB="0" distL="114300" distR="114300" simplePos="0" relativeHeight="251659264" behindDoc="0" locked="0" layoutInCell="1" allowOverlap="1" wp14:anchorId="2DD1B2A0" wp14:editId="60BE8036">
                <wp:simplePos x="0" y="0"/>
                <wp:positionH relativeFrom="column">
                  <wp:posOffset>1114425</wp:posOffset>
                </wp:positionH>
                <wp:positionV relativeFrom="paragraph">
                  <wp:posOffset>-139178</wp:posOffset>
                </wp:positionV>
                <wp:extent cx="4495800" cy="817581"/>
                <wp:effectExtent l="0" t="0" r="0" b="1905"/>
                <wp:wrapNone/>
                <wp:docPr id="3063186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817581"/>
                        </a:xfrm>
                        <a:prstGeom prst="rect">
                          <a:avLst/>
                        </a:prstGeom>
                        <a:noFill/>
                        <a:ln>
                          <a:noFill/>
                        </a:ln>
                      </wps:spPr>
                      <wps:txbx>
                        <w:txbxContent>
                          <w:p w14:paraId="2EFA0263" w14:textId="77777777" w:rsidR="00E93BE0" w:rsidRPr="004204AA" w:rsidRDefault="00E93BE0" w:rsidP="00E93BE0">
                            <w:pPr>
                              <w:tabs>
                                <w:tab w:val="left" w:pos="567"/>
                              </w:tabs>
                              <w:spacing w:after="0"/>
                              <w:jc w:val="center"/>
                              <w:rPr>
                                <w:b/>
                                <w:sz w:val="20"/>
                                <w:szCs w:val="20"/>
                              </w:rPr>
                            </w:pPr>
                            <w:r w:rsidRPr="004204AA">
                              <w:rPr>
                                <w:b/>
                                <w:sz w:val="20"/>
                                <w:szCs w:val="20"/>
                              </w:rPr>
                              <w:t>TỔNG CÔNG TY ĐIỆN LỰC DẦU KHÍ VIỆT NAM – CTCP</w:t>
                            </w:r>
                          </w:p>
                          <w:p w14:paraId="31DCAE41" w14:textId="77777777" w:rsidR="00157043" w:rsidRDefault="00E93BE0" w:rsidP="00E93BE0">
                            <w:pPr>
                              <w:tabs>
                                <w:tab w:val="left" w:pos="567"/>
                              </w:tabs>
                              <w:spacing w:after="0"/>
                              <w:jc w:val="center"/>
                              <w:rPr>
                                <w:b/>
                                <w:sz w:val="20"/>
                                <w:szCs w:val="20"/>
                              </w:rPr>
                            </w:pPr>
                            <w:r w:rsidRPr="0081406B">
                              <w:rPr>
                                <w:b/>
                                <w:sz w:val="20"/>
                                <w:szCs w:val="20"/>
                              </w:rPr>
                              <w:t xml:space="preserve">Địa chỉ: </w:t>
                            </w:r>
                            <w:r>
                              <w:rPr>
                                <w:b/>
                                <w:sz w:val="20"/>
                                <w:szCs w:val="20"/>
                              </w:rPr>
                              <w:t xml:space="preserve">Tòa nhà Viện Dầu khí Việt Nam, 167 đường Trung Kính, </w:t>
                            </w:r>
                          </w:p>
                          <w:p w14:paraId="7F8A6897" w14:textId="7A15CFEC" w:rsidR="00E93BE0" w:rsidRPr="0081406B" w:rsidRDefault="00E93BE0" w:rsidP="00E93BE0">
                            <w:pPr>
                              <w:tabs>
                                <w:tab w:val="left" w:pos="567"/>
                              </w:tabs>
                              <w:spacing w:after="0"/>
                              <w:jc w:val="center"/>
                              <w:rPr>
                                <w:b/>
                                <w:sz w:val="20"/>
                                <w:szCs w:val="20"/>
                              </w:rPr>
                            </w:pPr>
                            <w:r>
                              <w:rPr>
                                <w:b/>
                                <w:sz w:val="20"/>
                                <w:szCs w:val="20"/>
                              </w:rPr>
                              <w:t>phường Yên Hòa, Thành phố Hà Nội</w:t>
                            </w:r>
                          </w:p>
                          <w:p w14:paraId="7BDB52CD" w14:textId="77777777" w:rsidR="00E93BE0" w:rsidRPr="0081406B" w:rsidRDefault="00E93BE0" w:rsidP="00E93BE0">
                            <w:pPr>
                              <w:tabs>
                                <w:tab w:val="left" w:pos="567"/>
                              </w:tabs>
                              <w:spacing w:after="0"/>
                              <w:jc w:val="center"/>
                              <w:rPr>
                                <w:b/>
                                <w:sz w:val="20"/>
                                <w:szCs w:val="20"/>
                              </w:rPr>
                            </w:pPr>
                            <w:r w:rsidRPr="0081406B">
                              <w:rPr>
                                <w:b/>
                                <w:sz w:val="20"/>
                                <w:szCs w:val="20"/>
                              </w:rPr>
                              <w:t xml:space="preserve">Điện thoại: </w:t>
                            </w:r>
                            <w:r w:rsidRPr="00656FFA">
                              <w:rPr>
                                <w:b/>
                                <w:sz w:val="20"/>
                                <w:szCs w:val="20"/>
                              </w:rPr>
                              <w:t>(84-24) 222 10 288</w:t>
                            </w:r>
                            <w:r>
                              <w:rPr>
                                <w:b/>
                                <w:sz w:val="20"/>
                                <w:szCs w:val="20"/>
                              </w:rPr>
                              <w:t xml:space="preserve"> </w:t>
                            </w:r>
                            <w:r w:rsidRPr="0081406B">
                              <w:rPr>
                                <w:b/>
                                <w:sz w:val="20"/>
                                <w:szCs w:val="20"/>
                              </w:rPr>
                              <w:t xml:space="preserve">Fax: </w:t>
                            </w:r>
                            <w:r w:rsidRPr="00656FFA">
                              <w:rPr>
                                <w:b/>
                                <w:sz w:val="20"/>
                                <w:szCs w:val="20"/>
                              </w:rPr>
                              <w:t>(84-24) 222 10 388</w:t>
                            </w:r>
                            <w:r>
                              <w:rPr>
                                <w:b/>
                                <w:sz w:val="20"/>
                                <w:szCs w:val="20"/>
                              </w:rPr>
                              <w:t xml:space="preserve"> </w:t>
                            </w:r>
                            <w:r w:rsidRPr="0081406B">
                              <w:rPr>
                                <w:b/>
                                <w:sz w:val="20"/>
                                <w:szCs w:val="20"/>
                              </w:rPr>
                              <w:t xml:space="preserve">Web: </w:t>
                            </w:r>
                            <w:r w:rsidRPr="00656FFA">
                              <w:rPr>
                                <w:b/>
                                <w:sz w:val="20"/>
                                <w:szCs w:val="20"/>
                              </w:rPr>
                              <w:t>www.pvpower.vn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1B2A0" id="Rectangle 8" o:spid="_x0000_s1026" style="position:absolute;margin-left:87.75pt;margin-top:-10.95pt;width:354pt;height: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" filled="f" stroked="f">
                <v:textbox>
                  <w:txbxContent>
                    <w:p w14:paraId="2EFA0263" w14:textId="77777777" w:rsidR="00E93BE0" w:rsidRPr="004204AA" w:rsidRDefault="00E93BE0" w:rsidP="00E93BE0">
                      <w:pPr>
                        <w:tabs>
                          <w:tab w:val="left" w:pos="567"/>
                        </w:tabs>
                        <w:spacing w:after="0"/>
                        <w:jc w:val="center"/>
                        <w:rPr>
                          <w:b/>
                          <w:sz w:val="20"/>
                          <w:szCs w:val="20"/>
                        </w:rPr>
                      </w:pPr>
                      <w:r w:rsidRPr="004204AA">
                        <w:rPr>
                          <w:b/>
                          <w:sz w:val="20"/>
                          <w:szCs w:val="20"/>
                        </w:rPr>
                        <w:t>TỔNG CÔNG TY ĐIỆN LỰC DẦU KHÍ VIỆT NAM – CTCP</w:t>
                      </w:r>
                    </w:p>
                    <w:p w14:paraId="31DCAE41" w14:textId="77777777" w:rsidR="00157043" w:rsidRDefault="00E93BE0" w:rsidP="00E93BE0">
                      <w:pPr>
                        <w:tabs>
                          <w:tab w:val="left" w:pos="567"/>
                        </w:tabs>
                        <w:spacing w:after="0"/>
                        <w:jc w:val="center"/>
                        <w:rPr>
                          <w:b/>
                          <w:sz w:val="20"/>
                          <w:szCs w:val="20"/>
                        </w:rPr>
                      </w:pPr>
                      <w:r w:rsidRPr="0081406B">
                        <w:rPr>
                          <w:b/>
                          <w:sz w:val="20"/>
                          <w:szCs w:val="20"/>
                        </w:rPr>
                        <w:t xml:space="preserve">Địa chỉ: </w:t>
                      </w:r>
                      <w:r>
                        <w:rPr>
                          <w:b/>
                          <w:sz w:val="20"/>
                          <w:szCs w:val="20"/>
                        </w:rPr>
                        <w:t xml:space="preserve">Tòa nhà Viện Dầu khí Việt Nam, 167 đường Trung Kính, </w:t>
                      </w:r>
                    </w:p>
                    <w:p w14:paraId="7F8A6897" w14:textId="7A15CFEC" w:rsidR="00E93BE0" w:rsidRPr="0081406B" w:rsidRDefault="00E93BE0" w:rsidP="00E93BE0">
                      <w:pPr>
                        <w:tabs>
                          <w:tab w:val="left" w:pos="567"/>
                        </w:tabs>
                        <w:spacing w:after="0"/>
                        <w:jc w:val="center"/>
                        <w:rPr>
                          <w:b/>
                          <w:sz w:val="20"/>
                          <w:szCs w:val="20"/>
                        </w:rPr>
                      </w:pPr>
                      <w:r>
                        <w:rPr>
                          <w:b/>
                          <w:sz w:val="20"/>
                          <w:szCs w:val="20"/>
                        </w:rPr>
                        <w:t>phường Yên Hòa, Thành phố Hà Nội</w:t>
                      </w:r>
                    </w:p>
                    <w:p w14:paraId="7BDB52CD" w14:textId="77777777" w:rsidR="00E93BE0" w:rsidRPr="0081406B" w:rsidRDefault="00E93BE0" w:rsidP="00E93BE0">
                      <w:pPr>
                        <w:tabs>
                          <w:tab w:val="left" w:pos="567"/>
                        </w:tabs>
                        <w:spacing w:after="0"/>
                        <w:jc w:val="center"/>
                        <w:rPr>
                          <w:b/>
                          <w:sz w:val="20"/>
                          <w:szCs w:val="20"/>
                        </w:rPr>
                      </w:pPr>
                      <w:r w:rsidRPr="0081406B">
                        <w:rPr>
                          <w:b/>
                          <w:sz w:val="20"/>
                          <w:szCs w:val="20"/>
                        </w:rPr>
                        <w:t xml:space="preserve">Điện thoại: </w:t>
                      </w:r>
                      <w:r w:rsidRPr="00656FFA">
                        <w:rPr>
                          <w:b/>
                          <w:sz w:val="20"/>
                          <w:szCs w:val="20"/>
                        </w:rPr>
                        <w:t>(84-24) 222 10 288</w:t>
                      </w:r>
                      <w:r>
                        <w:rPr>
                          <w:b/>
                          <w:sz w:val="20"/>
                          <w:szCs w:val="20"/>
                        </w:rPr>
                        <w:t xml:space="preserve"> </w:t>
                      </w:r>
                      <w:r w:rsidRPr="0081406B">
                        <w:rPr>
                          <w:b/>
                          <w:sz w:val="20"/>
                          <w:szCs w:val="20"/>
                        </w:rPr>
                        <w:t xml:space="preserve">Fax: </w:t>
                      </w:r>
                      <w:r w:rsidRPr="00656FFA">
                        <w:rPr>
                          <w:b/>
                          <w:sz w:val="20"/>
                          <w:szCs w:val="20"/>
                        </w:rPr>
                        <w:t>(84-24) 222 10 388</w:t>
                      </w:r>
                      <w:r>
                        <w:rPr>
                          <w:b/>
                          <w:sz w:val="20"/>
                          <w:szCs w:val="20"/>
                        </w:rPr>
                        <w:t xml:space="preserve"> </w:t>
                      </w:r>
                      <w:r w:rsidRPr="0081406B">
                        <w:rPr>
                          <w:b/>
                          <w:sz w:val="20"/>
                          <w:szCs w:val="20"/>
                        </w:rPr>
                        <w:t xml:space="preserve">Web: </w:t>
                      </w:r>
                      <w:r w:rsidRPr="00656FFA">
                        <w:rPr>
                          <w:b/>
                          <w:sz w:val="20"/>
                          <w:szCs w:val="20"/>
                        </w:rPr>
                        <w:t>www.pvpower.vn</w:t>
                      </w:r>
                    </w:p>
                  </w:txbxContent>
                </v:textbox>
              </v:rect>
            </w:pict>
          </mc:Fallback>
        </mc:AlternateContent>
      </w:r>
    </w:p>
    <w:p w14:paraId="7B391312" w14:textId="77777777" w:rsidR="00E93BE0" w:rsidRDefault="00E93BE0" w:rsidP="00E93BE0">
      <w:pPr>
        <w:spacing w:before="60" w:after="60" w:line="288" w:lineRule="auto"/>
        <w:rPr>
          <w:b/>
          <w:sz w:val="20"/>
        </w:rPr>
      </w:pPr>
      <w:r>
        <w:rPr>
          <w:b/>
          <w:sz w:val="20"/>
        </w:rPr>
        <w:t xml:space="preserve">                 </w:t>
      </w:r>
    </w:p>
    <w:p w14:paraId="579D84AF" w14:textId="77777777" w:rsidR="00E93BE0" w:rsidRPr="008D7E52" w:rsidRDefault="00E93BE0" w:rsidP="00E93BE0">
      <w:pPr>
        <w:spacing w:before="60" w:after="60" w:line="288" w:lineRule="auto"/>
      </w:pPr>
    </w:p>
    <w:p w14:paraId="50F8242F" w14:textId="77777777" w:rsidR="00E93BE0" w:rsidRDefault="00E93BE0" w:rsidP="00E93BE0">
      <w:pPr>
        <w:spacing w:before="60" w:after="60" w:line="288" w:lineRule="auto"/>
        <w:jc w:val="center"/>
        <w:rPr>
          <w:b/>
        </w:rPr>
      </w:pPr>
      <w:r>
        <w:rPr>
          <w:sz w:val="12"/>
        </w:rPr>
        <w:t>-----------------------------------------------------------------------------------------------------------------------------------------------------------------------------------------------------------------------------------</w:t>
      </w:r>
    </w:p>
    <w:p w14:paraId="5A910D84" w14:textId="77777777" w:rsidR="00E93BE0" w:rsidRDefault="00E93BE0" w:rsidP="00E93BE0">
      <w:pPr>
        <w:spacing w:before="60" w:after="60" w:line="288" w:lineRule="auto"/>
        <w:jc w:val="center"/>
        <w:rPr>
          <w:b/>
          <w:sz w:val="32"/>
        </w:rPr>
      </w:pPr>
      <w:r>
        <w:rPr>
          <w:b/>
          <w:sz w:val="32"/>
        </w:rPr>
        <w:t>GIẤY ĐỀ NGHỊ CHUYỂN NHƯỢNG QUYỀN MUA CỔ PHIẾU</w:t>
      </w:r>
    </w:p>
    <w:p w14:paraId="09C0771E" w14:textId="77777777" w:rsidR="00E93BE0" w:rsidRPr="004204AA" w:rsidRDefault="00E93BE0" w:rsidP="00E93BE0">
      <w:pPr>
        <w:spacing w:before="60" w:after="60" w:line="288" w:lineRule="auto"/>
        <w:jc w:val="center"/>
        <w:rPr>
          <w:bCs w:val="0"/>
          <w:i/>
          <w:iCs/>
          <w:sz w:val="26"/>
          <w:szCs w:val="26"/>
        </w:rPr>
      </w:pPr>
      <w:r w:rsidRPr="004204AA">
        <w:rPr>
          <w:bCs w:val="0"/>
          <w:i/>
          <w:iCs/>
          <w:sz w:val="26"/>
          <w:szCs w:val="26"/>
        </w:rPr>
        <w:t>(Sử dụng cho cổ đông chưa lưu ký)</w:t>
      </w:r>
    </w:p>
    <w:p w14:paraId="37A67E89" w14:textId="77777777" w:rsidR="00E93BE0" w:rsidRPr="004204AA" w:rsidRDefault="00E93BE0" w:rsidP="00E93BE0">
      <w:pPr>
        <w:spacing w:before="60" w:after="60" w:line="288" w:lineRule="auto"/>
        <w:jc w:val="center"/>
        <w:rPr>
          <w:bCs w:val="0"/>
          <w:i/>
          <w:iCs/>
          <w:sz w:val="12"/>
          <w:szCs w:val="12"/>
        </w:rPr>
      </w:pPr>
    </w:p>
    <w:p w14:paraId="09510FEF" w14:textId="77777777" w:rsidR="00E93BE0" w:rsidRPr="004204AA" w:rsidRDefault="00E93BE0" w:rsidP="00E93BE0">
      <w:pPr>
        <w:tabs>
          <w:tab w:val="left" w:leader="dot" w:pos="9072"/>
        </w:tabs>
        <w:spacing w:before="60" w:after="60" w:line="288" w:lineRule="auto"/>
        <w:jc w:val="center"/>
        <w:rPr>
          <w:sz w:val="26"/>
          <w:szCs w:val="26"/>
        </w:rPr>
      </w:pPr>
      <w:r w:rsidRPr="004204AA">
        <w:rPr>
          <w:b/>
          <w:i/>
          <w:sz w:val="26"/>
          <w:szCs w:val="26"/>
          <w:u w:val="single"/>
        </w:rPr>
        <w:t>Kính gửi</w:t>
      </w:r>
      <w:r w:rsidRPr="004204AA">
        <w:rPr>
          <w:sz w:val="26"/>
          <w:szCs w:val="26"/>
        </w:rPr>
        <w:t xml:space="preserve">: </w:t>
      </w:r>
      <w:r w:rsidRPr="004204AA">
        <w:rPr>
          <w:b/>
          <w:sz w:val="26"/>
          <w:szCs w:val="26"/>
        </w:rPr>
        <w:t>TỔNG CÔNG TY ĐIỆN LỰC DẦU KHÍ VIỆT NAM – CTCP</w:t>
      </w:r>
    </w:p>
    <w:p w14:paraId="05DD0637" w14:textId="77777777" w:rsidR="00E93BE0" w:rsidRPr="004204AA" w:rsidRDefault="00E93BE0" w:rsidP="00E93BE0">
      <w:pPr>
        <w:tabs>
          <w:tab w:val="left" w:leader="dot" w:pos="9072"/>
        </w:tabs>
        <w:spacing w:before="60" w:after="60" w:line="288" w:lineRule="auto"/>
        <w:ind w:firstLine="567"/>
        <w:jc w:val="both"/>
        <w:rPr>
          <w:sz w:val="26"/>
          <w:szCs w:val="26"/>
        </w:rPr>
      </w:pPr>
      <w:r w:rsidRPr="004204AA">
        <w:rPr>
          <w:sz w:val="26"/>
          <w:szCs w:val="26"/>
        </w:rPr>
        <w:t>Chúng tôi, dưới đây gồm</w:t>
      </w:r>
    </w:p>
    <w:p w14:paraId="0B441CEA" w14:textId="77777777" w:rsidR="00E93BE0" w:rsidRPr="004204AA" w:rsidRDefault="00E93BE0" w:rsidP="00E93BE0">
      <w:pPr>
        <w:tabs>
          <w:tab w:val="left" w:pos="567"/>
          <w:tab w:val="left" w:leader="dot" w:pos="9072"/>
        </w:tabs>
        <w:spacing w:before="60" w:after="60" w:line="288" w:lineRule="auto"/>
        <w:jc w:val="both"/>
        <w:rPr>
          <w:b/>
          <w:bCs w:val="0"/>
          <w:sz w:val="26"/>
          <w:szCs w:val="26"/>
        </w:rPr>
      </w:pPr>
      <w:r w:rsidRPr="004204AA">
        <w:rPr>
          <w:b/>
          <w:bCs w:val="0"/>
          <w:sz w:val="26"/>
          <w:szCs w:val="26"/>
        </w:rPr>
        <w:t xml:space="preserve">I.  </w:t>
      </w:r>
      <w:r>
        <w:rPr>
          <w:b/>
          <w:bCs w:val="0"/>
          <w:sz w:val="26"/>
          <w:szCs w:val="26"/>
        </w:rPr>
        <w:tab/>
      </w:r>
      <w:r w:rsidRPr="004204AA">
        <w:rPr>
          <w:b/>
          <w:bCs w:val="0"/>
          <w:sz w:val="26"/>
          <w:szCs w:val="26"/>
        </w:rPr>
        <w:t>Bên Chuyển Nhượng</w:t>
      </w:r>
    </w:p>
    <w:p w14:paraId="4F15E192"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Tên cá nhân/doanh nghiệp:</w:t>
      </w:r>
      <w:r w:rsidRPr="004204AA">
        <w:rPr>
          <w:sz w:val="26"/>
          <w:szCs w:val="26"/>
        </w:rPr>
        <w:tab/>
      </w:r>
    </w:p>
    <w:p w14:paraId="157B9075"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Căn cước công dân/mã số thuế:</w:t>
      </w:r>
      <w:r w:rsidRPr="004204AA">
        <w:rPr>
          <w:sz w:val="26"/>
          <w:szCs w:val="26"/>
        </w:rPr>
        <w:tab/>
      </w:r>
    </w:p>
    <w:p w14:paraId="406199FE"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Ngày cấp:…………………………………………Nơi cấp</w:t>
      </w:r>
      <w:r w:rsidRPr="004204AA">
        <w:rPr>
          <w:sz w:val="26"/>
          <w:szCs w:val="26"/>
        </w:rPr>
        <w:tab/>
      </w:r>
    </w:p>
    <w:p w14:paraId="7B5D75AB"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Người đại diện theo pháp luật (tổ chức)</w:t>
      </w:r>
      <w:r w:rsidRPr="004204AA">
        <w:rPr>
          <w:sz w:val="26"/>
          <w:szCs w:val="26"/>
        </w:rPr>
        <w:tab/>
      </w:r>
    </w:p>
    <w:p w14:paraId="4B781D80"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Chức vụ (tổ chức):</w:t>
      </w:r>
      <w:r w:rsidRPr="004204AA">
        <w:rPr>
          <w:sz w:val="26"/>
          <w:szCs w:val="26"/>
        </w:rPr>
        <w:tab/>
      </w:r>
    </w:p>
    <w:p w14:paraId="5A10A56B"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Địa chỉ thường trú/Trụ sở:</w:t>
      </w:r>
      <w:r w:rsidRPr="004204AA">
        <w:rPr>
          <w:sz w:val="26"/>
          <w:szCs w:val="26"/>
        </w:rPr>
        <w:tab/>
      </w:r>
    </w:p>
    <w:p w14:paraId="4BA6E59E"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Địa chỉ liên hệ (Cá nhân):</w:t>
      </w:r>
      <w:r w:rsidRPr="004204AA">
        <w:rPr>
          <w:sz w:val="26"/>
          <w:szCs w:val="26"/>
        </w:rPr>
        <w:tab/>
      </w:r>
    </w:p>
    <w:p w14:paraId="5CC3BFE1"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Điện thoại:……………. ………………………  Email:</w:t>
      </w:r>
      <w:r w:rsidRPr="004204AA">
        <w:rPr>
          <w:sz w:val="26"/>
          <w:szCs w:val="26"/>
        </w:rPr>
        <w:tab/>
      </w:r>
    </w:p>
    <w:p w14:paraId="5CA500A4" w14:textId="77777777" w:rsidR="00E93BE0" w:rsidRPr="004204AA" w:rsidRDefault="00E93BE0" w:rsidP="00E93BE0">
      <w:pPr>
        <w:tabs>
          <w:tab w:val="left" w:pos="567"/>
          <w:tab w:val="left" w:leader="dot" w:pos="9072"/>
        </w:tabs>
        <w:spacing w:before="60" w:after="60" w:line="288" w:lineRule="auto"/>
        <w:jc w:val="both"/>
        <w:rPr>
          <w:b/>
          <w:bCs w:val="0"/>
          <w:sz w:val="26"/>
          <w:szCs w:val="26"/>
        </w:rPr>
      </w:pPr>
      <w:r w:rsidRPr="004204AA">
        <w:rPr>
          <w:b/>
          <w:bCs w:val="0"/>
          <w:sz w:val="26"/>
          <w:szCs w:val="26"/>
        </w:rPr>
        <w:t xml:space="preserve">II. </w:t>
      </w:r>
      <w:r>
        <w:rPr>
          <w:b/>
          <w:bCs w:val="0"/>
          <w:sz w:val="26"/>
          <w:szCs w:val="26"/>
        </w:rPr>
        <w:tab/>
      </w:r>
      <w:r w:rsidRPr="004204AA">
        <w:rPr>
          <w:b/>
          <w:bCs w:val="0"/>
          <w:sz w:val="26"/>
          <w:szCs w:val="26"/>
        </w:rPr>
        <w:t>Bên Nhận Chuyển Nhượng:</w:t>
      </w:r>
    </w:p>
    <w:p w14:paraId="41166E9E"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Tên cá nhân/doanh nghiệp:</w:t>
      </w:r>
      <w:r w:rsidRPr="004204AA">
        <w:rPr>
          <w:sz w:val="26"/>
          <w:szCs w:val="26"/>
        </w:rPr>
        <w:tab/>
      </w:r>
    </w:p>
    <w:p w14:paraId="149E717A"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Căn cước công dân/mã số thuế:</w:t>
      </w:r>
      <w:r w:rsidRPr="004204AA">
        <w:rPr>
          <w:sz w:val="26"/>
          <w:szCs w:val="26"/>
        </w:rPr>
        <w:tab/>
      </w:r>
    </w:p>
    <w:p w14:paraId="1D741323"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Ngày cấp:…………………………………………Nơi cấp</w:t>
      </w:r>
      <w:r w:rsidRPr="004204AA">
        <w:rPr>
          <w:sz w:val="26"/>
          <w:szCs w:val="26"/>
        </w:rPr>
        <w:tab/>
      </w:r>
    </w:p>
    <w:p w14:paraId="090EF9F0"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Người đại diện theo pháp luật (tổ chức)</w:t>
      </w:r>
      <w:r w:rsidRPr="004204AA">
        <w:rPr>
          <w:sz w:val="26"/>
          <w:szCs w:val="26"/>
        </w:rPr>
        <w:tab/>
      </w:r>
    </w:p>
    <w:p w14:paraId="1E9725F6"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Chức vụ (tổ chức):</w:t>
      </w:r>
      <w:r w:rsidRPr="004204AA">
        <w:rPr>
          <w:sz w:val="26"/>
          <w:szCs w:val="26"/>
        </w:rPr>
        <w:tab/>
      </w:r>
    </w:p>
    <w:p w14:paraId="27980391"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Địa chỉ thường trú/Trụ sở:</w:t>
      </w:r>
      <w:r w:rsidRPr="004204AA">
        <w:rPr>
          <w:sz w:val="26"/>
          <w:szCs w:val="26"/>
        </w:rPr>
        <w:tab/>
      </w:r>
    </w:p>
    <w:p w14:paraId="0DCDAA2B"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Địa chỉ liên hệ (Cá nhân):</w:t>
      </w:r>
      <w:r w:rsidRPr="004204AA">
        <w:rPr>
          <w:sz w:val="26"/>
          <w:szCs w:val="26"/>
        </w:rPr>
        <w:tab/>
      </w:r>
    </w:p>
    <w:p w14:paraId="2605FAF4"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Điện thoại:……………. ………………………  Email:</w:t>
      </w:r>
      <w:r w:rsidRPr="004204AA">
        <w:rPr>
          <w:sz w:val="26"/>
          <w:szCs w:val="26"/>
        </w:rPr>
        <w:tab/>
      </w:r>
    </w:p>
    <w:p w14:paraId="4E79397B" w14:textId="77777777" w:rsidR="00E93BE0" w:rsidRPr="004204AA" w:rsidRDefault="00E93BE0" w:rsidP="00E93BE0">
      <w:pPr>
        <w:tabs>
          <w:tab w:val="left" w:pos="567"/>
          <w:tab w:val="left" w:leader="dot" w:pos="9072"/>
        </w:tabs>
        <w:spacing w:before="60" w:after="60" w:line="288" w:lineRule="auto"/>
        <w:jc w:val="both"/>
        <w:rPr>
          <w:b/>
          <w:bCs w:val="0"/>
          <w:sz w:val="26"/>
          <w:szCs w:val="26"/>
        </w:rPr>
      </w:pPr>
      <w:r w:rsidRPr="004204AA">
        <w:rPr>
          <w:b/>
          <w:bCs w:val="0"/>
          <w:sz w:val="26"/>
          <w:szCs w:val="26"/>
        </w:rPr>
        <w:t xml:space="preserve">III. </w:t>
      </w:r>
      <w:r>
        <w:rPr>
          <w:b/>
          <w:bCs w:val="0"/>
          <w:sz w:val="26"/>
          <w:szCs w:val="26"/>
        </w:rPr>
        <w:tab/>
      </w:r>
      <w:r w:rsidRPr="004204AA">
        <w:rPr>
          <w:b/>
          <w:bCs w:val="0"/>
          <w:sz w:val="26"/>
          <w:szCs w:val="26"/>
        </w:rPr>
        <w:t>Đề nghị Tổng công ty Điện lực Dầu khí Việt Nam – CTCP xác nhận việc chuyển nhượng quyền mua cổ phiếu với thông tin cụ thể như sau:</w:t>
      </w:r>
    </w:p>
    <w:tbl>
      <w:tblPr>
        <w:tblStyle w:val="TableGrid"/>
        <w:tblW w:w="5000" w:type="pct"/>
        <w:tblLook w:val="04A0" w:firstRow="1" w:lastRow="0" w:firstColumn="1" w:lastColumn="0" w:noHBand="0" w:noVBand="1"/>
      </w:tblPr>
      <w:tblGrid>
        <w:gridCol w:w="1812"/>
        <w:gridCol w:w="1812"/>
        <w:gridCol w:w="1812"/>
        <w:gridCol w:w="1812"/>
        <w:gridCol w:w="1814"/>
      </w:tblGrid>
      <w:tr w:rsidR="00E93BE0" w:rsidRPr="004204AA" w14:paraId="0B76DA15" w14:textId="77777777" w:rsidTr="00043AC0">
        <w:tc>
          <w:tcPr>
            <w:tcW w:w="999" w:type="pct"/>
            <w:vAlign w:val="center"/>
          </w:tcPr>
          <w:p w14:paraId="1B9F1188" w14:textId="77777777" w:rsidR="00E93BE0" w:rsidRPr="004204AA" w:rsidRDefault="00E93BE0" w:rsidP="00043AC0">
            <w:pPr>
              <w:tabs>
                <w:tab w:val="left" w:leader="dot" w:pos="9072"/>
              </w:tabs>
              <w:spacing w:before="60" w:after="60" w:line="288" w:lineRule="auto"/>
              <w:jc w:val="center"/>
              <w:rPr>
                <w:b/>
                <w:bCs w:val="0"/>
                <w:sz w:val="26"/>
                <w:szCs w:val="26"/>
              </w:rPr>
            </w:pPr>
            <w:r w:rsidRPr="004204AA">
              <w:rPr>
                <w:b/>
                <w:bCs w:val="0"/>
                <w:sz w:val="26"/>
                <w:szCs w:val="26"/>
              </w:rPr>
              <w:t>Tên cổ phiếu</w:t>
            </w:r>
          </w:p>
        </w:tc>
        <w:tc>
          <w:tcPr>
            <w:tcW w:w="999" w:type="pct"/>
            <w:vAlign w:val="center"/>
          </w:tcPr>
          <w:p w14:paraId="40704CD2" w14:textId="77777777" w:rsidR="00E93BE0" w:rsidRPr="004204AA" w:rsidRDefault="00E93BE0" w:rsidP="00043AC0">
            <w:pPr>
              <w:tabs>
                <w:tab w:val="left" w:leader="dot" w:pos="9072"/>
              </w:tabs>
              <w:spacing w:before="60" w:after="60" w:line="288" w:lineRule="auto"/>
              <w:jc w:val="center"/>
              <w:rPr>
                <w:b/>
                <w:bCs w:val="0"/>
                <w:sz w:val="26"/>
                <w:szCs w:val="26"/>
              </w:rPr>
            </w:pPr>
            <w:r w:rsidRPr="004204AA">
              <w:rPr>
                <w:b/>
                <w:bCs w:val="0"/>
                <w:sz w:val="26"/>
                <w:szCs w:val="26"/>
              </w:rPr>
              <w:t>Số lượng quyền mua sở hữu</w:t>
            </w:r>
          </w:p>
        </w:tc>
        <w:tc>
          <w:tcPr>
            <w:tcW w:w="1000" w:type="pct"/>
            <w:vAlign w:val="center"/>
          </w:tcPr>
          <w:p w14:paraId="2F3FF9E5" w14:textId="77777777" w:rsidR="00E93BE0" w:rsidRPr="004204AA" w:rsidRDefault="00E93BE0" w:rsidP="00043AC0">
            <w:pPr>
              <w:tabs>
                <w:tab w:val="left" w:leader="dot" w:pos="9072"/>
              </w:tabs>
              <w:spacing w:before="60" w:after="60" w:line="288" w:lineRule="auto"/>
              <w:jc w:val="center"/>
              <w:rPr>
                <w:b/>
                <w:bCs w:val="0"/>
                <w:sz w:val="26"/>
                <w:szCs w:val="26"/>
              </w:rPr>
            </w:pPr>
            <w:r w:rsidRPr="004204AA">
              <w:rPr>
                <w:b/>
                <w:bCs w:val="0"/>
                <w:sz w:val="26"/>
                <w:szCs w:val="26"/>
              </w:rPr>
              <w:t>Số lượng quyền mua chuyển nhượng</w:t>
            </w:r>
          </w:p>
        </w:tc>
        <w:tc>
          <w:tcPr>
            <w:tcW w:w="1000" w:type="pct"/>
            <w:vAlign w:val="center"/>
          </w:tcPr>
          <w:p w14:paraId="4462855B" w14:textId="77777777" w:rsidR="00E93BE0" w:rsidRPr="004204AA" w:rsidRDefault="00E93BE0" w:rsidP="00043AC0">
            <w:pPr>
              <w:tabs>
                <w:tab w:val="left" w:leader="dot" w:pos="9072"/>
              </w:tabs>
              <w:spacing w:before="60" w:after="60" w:line="288" w:lineRule="auto"/>
              <w:jc w:val="center"/>
              <w:rPr>
                <w:b/>
                <w:bCs w:val="0"/>
                <w:sz w:val="26"/>
                <w:szCs w:val="26"/>
              </w:rPr>
            </w:pPr>
            <w:commentRangeStart w:id="0"/>
            <w:r w:rsidRPr="004204AA">
              <w:rPr>
                <w:b/>
                <w:bCs w:val="0"/>
                <w:sz w:val="26"/>
                <w:szCs w:val="26"/>
              </w:rPr>
              <w:t>Giá chuyển nhượng (đồng/quyền mua)</w:t>
            </w:r>
            <w:commentRangeEnd w:id="0"/>
            <w:r w:rsidRPr="004204AA">
              <w:rPr>
                <w:rStyle w:val="CommentReference"/>
                <w:b/>
                <w:bCs w:val="0"/>
                <w:sz w:val="26"/>
                <w:szCs w:val="26"/>
              </w:rPr>
              <w:commentReference w:id="0"/>
            </w:r>
          </w:p>
        </w:tc>
        <w:tc>
          <w:tcPr>
            <w:tcW w:w="1001" w:type="pct"/>
            <w:vAlign w:val="center"/>
          </w:tcPr>
          <w:p w14:paraId="12A2D29F" w14:textId="77777777" w:rsidR="00E93BE0" w:rsidRPr="004204AA" w:rsidRDefault="00E93BE0" w:rsidP="00043AC0">
            <w:pPr>
              <w:tabs>
                <w:tab w:val="left" w:leader="dot" w:pos="9072"/>
              </w:tabs>
              <w:spacing w:before="60" w:after="60" w:line="288" w:lineRule="auto"/>
              <w:jc w:val="center"/>
              <w:rPr>
                <w:b/>
                <w:bCs w:val="0"/>
                <w:sz w:val="26"/>
                <w:szCs w:val="26"/>
              </w:rPr>
            </w:pPr>
            <w:r w:rsidRPr="004204AA">
              <w:rPr>
                <w:b/>
                <w:bCs w:val="0"/>
                <w:sz w:val="26"/>
                <w:szCs w:val="26"/>
              </w:rPr>
              <w:t>Số lượng quyền mua còn lại</w:t>
            </w:r>
          </w:p>
        </w:tc>
      </w:tr>
      <w:tr w:rsidR="00E93BE0" w:rsidRPr="004204AA" w14:paraId="71FADF55" w14:textId="77777777" w:rsidTr="00043AC0">
        <w:tc>
          <w:tcPr>
            <w:tcW w:w="999" w:type="pct"/>
          </w:tcPr>
          <w:p w14:paraId="69991392" w14:textId="77777777" w:rsidR="00E93BE0" w:rsidRPr="004204AA" w:rsidRDefault="00E93BE0" w:rsidP="00043AC0">
            <w:pPr>
              <w:tabs>
                <w:tab w:val="left" w:leader="dot" w:pos="9072"/>
              </w:tabs>
              <w:spacing w:before="60" w:after="60" w:line="288" w:lineRule="auto"/>
              <w:jc w:val="both"/>
              <w:rPr>
                <w:sz w:val="26"/>
                <w:szCs w:val="26"/>
              </w:rPr>
            </w:pPr>
            <w:r w:rsidRPr="004204AA">
              <w:rPr>
                <w:sz w:val="26"/>
                <w:szCs w:val="26"/>
              </w:rPr>
              <w:t xml:space="preserve">Cổ phiếu Tổng công ty Điện lực Dầu khí </w:t>
            </w:r>
            <w:r w:rsidRPr="004204AA">
              <w:rPr>
                <w:sz w:val="26"/>
                <w:szCs w:val="26"/>
              </w:rPr>
              <w:lastRenderedPageBreak/>
              <w:t>Việt Nam – CTCP</w:t>
            </w:r>
          </w:p>
          <w:p w14:paraId="3090ADDE" w14:textId="77777777" w:rsidR="00E93BE0" w:rsidRPr="004204AA" w:rsidRDefault="00E93BE0" w:rsidP="00043AC0">
            <w:pPr>
              <w:tabs>
                <w:tab w:val="left" w:leader="dot" w:pos="9072"/>
              </w:tabs>
              <w:spacing w:before="60" w:after="60" w:line="288" w:lineRule="auto"/>
              <w:jc w:val="both"/>
              <w:rPr>
                <w:sz w:val="26"/>
                <w:szCs w:val="26"/>
              </w:rPr>
            </w:pPr>
            <w:r w:rsidRPr="004204AA">
              <w:rPr>
                <w:sz w:val="26"/>
                <w:szCs w:val="26"/>
              </w:rPr>
              <w:t>Mã cổ phiếu: POW</w:t>
            </w:r>
          </w:p>
        </w:tc>
        <w:tc>
          <w:tcPr>
            <w:tcW w:w="999" w:type="pct"/>
          </w:tcPr>
          <w:p w14:paraId="396AF1B8" w14:textId="77777777" w:rsidR="00E93BE0" w:rsidRPr="004204AA" w:rsidRDefault="00E93BE0" w:rsidP="00043AC0">
            <w:pPr>
              <w:tabs>
                <w:tab w:val="left" w:leader="dot" w:pos="9072"/>
              </w:tabs>
              <w:spacing w:before="60" w:after="60" w:line="288" w:lineRule="auto"/>
              <w:jc w:val="both"/>
              <w:rPr>
                <w:sz w:val="26"/>
                <w:szCs w:val="26"/>
              </w:rPr>
            </w:pPr>
          </w:p>
        </w:tc>
        <w:tc>
          <w:tcPr>
            <w:tcW w:w="1000" w:type="pct"/>
          </w:tcPr>
          <w:p w14:paraId="56C7F20A" w14:textId="77777777" w:rsidR="00E93BE0" w:rsidRPr="004204AA" w:rsidRDefault="00E93BE0" w:rsidP="00043AC0">
            <w:pPr>
              <w:tabs>
                <w:tab w:val="left" w:leader="dot" w:pos="9072"/>
              </w:tabs>
              <w:spacing w:before="60" w:after="60" w:line="288" w:lineRule="auto"/>
              <w:jc w:val="both"/>
              <w:rPr>
                <w:sz w:val="26"/>
                <w:szCs w:val="26"/>
              </w:rPr>
            </w:pPr>
          </w:p>
        </w:tc>
        <w:tc>
          <w:tcPr>
            <w:tcW w:w="1000" w:type="pct"/>
          </w:tcPr>
          <w:p w14:paraId="4F9D4D70" w14:textId="77777777" w:rsidR="00E93BE0" w:rsidRPr="004204AA" w:rsidRDefault="00E93BE0" w:rsidP="00043AC0">
            <w:pPr>
              <w:tabs>
                <w:tab w:val="left" w:leader="dot" w:pos="9072"/>
              </w:tabs>
              <w:spacing w:before="60" w:after="60" w:line="288" w:lineRule="auto"/>
              <w:jc w:val="both"/>
              <w:rPr>
                <w:sz w:val="26"/>
                <w:szCs w:val="26"/>
              </w:rPr>
            </w:pPr>
          </w:p>
        </w:tc>
        <w:tc>
          <w:tcPr>
            <w:tcW w:w="1001" w:type="pct"/>
          </w:tcPr>
          <w:p w14:paraId="60B0996D" w14:textId="77777777" w:rsidR="00E93BE0" w:rsidRPr="004204AA" w:rsidRDefault="00E93BE0" w:rsidP="00043AC0">
            <w:pPr>
              <w:tabs>
                <w:tab w:val="left" w:leader="dot" w:pos="9072"/>
              </w:tabs>
              <w:spacing w:before="60" w:after="60" w:line="288" w:lineRule="auto"/>
              <w:jc w:val="both"/>
              <w:rPr>
                <w:sz w:val="26"/>
                <w:szCs w:val="26"/>
              </w:rPr>
            </w:pPr>
          </w:p>
        </w:tc>
      </w:tr>
    </w:tbl>
    <w:p w14:paraId="4056BFEF" w14:textId="77777777" w:rsidR="00E93BE0" w:rsidRPr="004204AA" w:rsidRDefault="00E93BE0" w:rsidP="00E93BE0">
      <w:pPr>
        <w:tabs>
          <w:tab w:val="left" w:pos="567"/>
          <w:tab w:val="left" w:leader="dot" w:pos="9072"/>
        </w:tabs>
        <w:spacing w:before="60" w:after="60" w:line="288" w:lineRule="auto"/>
        <w:jc w:val="both"/>
        <w:rPr>
          <w:b/>
          <w:bCs w:val="0"/>
          <w:sz w:val="26"/>
          <w:szCs w:val="26"/>
        </w:rPr>
      </w:pPr>
      <w:r w:rsidRPr="004204AA">
        <w:rPr>
          <w:b/>
          <w:bCs w:val="0"/>
          <w:sz w:val="26"/>
          <w:szCs w:val="26"/>
        </w:rPr>
        <w:lastRenderedPageBreak/>
        <w:t xml:space="preserve">IV. </w:t>
      </w:r>
      <w:r>
        <w:rPr>
          <w:b/>
          <w:bCs w:val="0"/>
          <w:sz w:val="26"/>
          <w:szCs w:val="26"/>
        </w:rPr>
        <w:tab/>
      </w:r>
      <w:r w:rsidRPr="004204AA">
        <w:rPr>
          <w:b/>
          <w:bCs w:val="0"/>
          <w:sz w:val="26"/>
          <w:szCs w:val="26"/>
        </w:rPr>
        <w:t>Chúng tôi cam kết:</w:t>
      </w:r>
    </w:p>
    <w:p w14:paraId="5B0DF7A2"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Số quyền mua đề nghị chuyển nhượng hoàn Toàn phụ thuộc quyền sở hữu và sử dụng hợp pháp của Bên Chuyển Nhượng. Việc thanh toán tiền (nếu có) đối với số lượng quyền mua chuyển nhượng do hai bên tự thỏa thuận và thực hiện</w:t>
      </w:r>
    </w:p>
    <w:p w14:paraId="41E1EA74"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Đã thực hiện công bố thông tin đầy đủ theo quy định pháp luật (trường hợp thuộc đối tượng phải công bố thông tin) và có trách nhiệm tự kê khai, nộp đầy đủ thuế, phí theo quy định pháp luật.</w:t>
      </w:r>
    </w:p>
    <w:p w14:paraId="12EC2D80"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Chịu trách nhiệm hoàn toàn về giao dịch, đề nghị chuyển nhượng này và tự giải quyết các khiếu nại, tranh chấp phát sinh (nếu có) liên quan đến việc chuyển nhượng quyền mua này.</w:t>
      </w:r>
    </w:p>
    <w:p w14:paraId="099A3450" w14:textId="77777777" w:rsidR="00E93BE0" w:rsidRPr="004204AA" w:rsidRDefault="00E93BE0" w:rsidP="00E93BE0">
      <w:pPr>
        <w:pStyle w:val="ListParagraph"/>
        <w:numPr>
          <w:ilvl w:val="0"/>
          <w:numId w:val="1"/>
        </w:numPr>
        <w:tabs>
          <w:tab w:val="left" w:leader="dot" w:pos="9072"/>
        </w:tabs>
        <w:spacing w:before="60" w:after="60" w:line="288" w:lineRule="auto"/>
        <w:ind w:left="567" w:hanging="567"/>
        <w:contextualSpacing w:val="0"/>
        <w:jc w:val="both"/>
        <w:rPr>
          <w:sz w:val="26"/>
          <w:szCs w:val="26"/>
        </w:rPr>
      </w:pPr>
      <w:r w:rsidRPr="004204AA">
        <w:rPr>
          <w:sz w:val="26"/>
          <w:szCs w:val="26"/>
        </w:rPr>
        <w:t>Giấy đề nghị chuyển nhượng quyền mua này được lập thành 03 (ba) bản, mỗi bên giữ một bản, tổ chức phát hành giữ một bản và có hiệu lực kể từ ngày Tổng công ty Điện lực Dầu khí Việt Nam – CTCP xác nhận.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51"/>
      </w:tblGrid>
      <w:tr w:rsidR="00E93BE0" w:rsidRPr="00157043" w14:paraId="2A5722C3" w14:textId="77777777" w:rsidTr="00043AC0">
        <w:trPr>
          <w:trHeight w:val="3753"/>
        </w:trPr>
        <w:tc>
          <w:tcPr>
            <w:tcW w:w="4351" w:type="dxa"/>
          </w:tcPr>
          <w:p w14:paraId="7BD58600" w14:textId="77777777" w:rsidR="00E93BE0" w:rsidRPr="004204AA" w:rsidRDefault="00E93BE0" w:rsidP="00043AC0">
            <w:pPr>
              <w:pStyle w:val="ListParagraph"/>
              <w:tabs>
                <w:tab w:val="left" w:leader="dot" w:pos="9072"/>
              </w:tabs>
              <w:spacing w:before="60" w:after="60" w:line="288" w:lineRule="auto"/>
              <w:ind w:left="0"/>
              <w:contextualSpacing w:val="0"/>
              <w:jc w:val="center"/>
              <w:rPr>
                <w:b/>
                <w:bCs w:val="0"/>
                <w:sz w:val="26"/>
                <w:szCs w:val="26"/>
              </w:rPr>
            </w:pPr>
          </w:p>
          <w:p w14:paraId="49829CE5" w14:textId="77777777" w:rsidR="00E93BE0" w:rsidRPr="004204AA" w:rsidRDefault="00E93BE0" w:rsidP="00043AC0">
            <w:pPr>
              <w:pStyle w:val="ListParagraph"/>
              <w:tabs>
                <w:tab w:val="left" w:leader="dot" w:pos="9072"/>
              </w:tabs>
              <w:spacing w:before="60" w:after="60" w:line="288" w:lineRule="auto"/>
              <w:ind w:left="0"/>
              <w:contextualSpacing w:val="0"/>
              <w:jc w:val="center"/>
              <w:rPr>
                <w:b/>
                <w:bCs w:val="0"/>
                <w:sz w:val="26"/>
                <w:szCs w:val="26"/>
              </w:rPr>
            </w:pPr>
            <w:r w:rsidRPr="004204AA">
              <w:rPr>
                <w:b/>
                <w:bCs w:val="0"/>
                <w:sz w:val="26"/>
                <w:szCs w:val="26"/>
              </w:rPr>
              <w:t>Bên Chuyển Nhượng</w:t>
            </w:r>
          </w:p>
          <w:p w14:paraId="32C9D070" w14:textId="77777777" w:rsidR="00E93BE0" w:rsidRPr="004204AA" w:rsidRDefault="00E93BE0" w:rsidP="00043AC0">
            <w:pPr>
              <w:pStyle w:val="ListParagraph"/>
              <w:tabs>
                <w:tab w:val="left" w:leader="dot" w:pos="9072"/>
              </w:tabs>
              <w:spacing w:before="60" w:after="60" w:line="288" w:lineRule="auto"/>
              <w:ind w:left="0"/>
              <w:contextualSpacing w:val="0"/>
              <w:jc w:val="center"/>
              <w:rPr>
                <w:i/>
                <w:iCs/>
                <w:sz w:val="26"/>
                <w:szCs w:val="26"/>
              </w:rPr>
            </w:pPr>
            <w:r w:rsidRPr="004204AA">
              <w:rPr>
                <w:i/>
                <w:iCs/>
                <w:sz w:val="26"/>
                <w:szCs w:val="26"/>
              </w:rPr>
              <w:t>(Ký, ghi rõ họ tên và đóng dấu nếu có)</w:t>
            </w:r>
          </w:p>
        </w:tc>
        <w:tc>
          <w:tcPr>
            <w:tcW w:w="4351" w:type="dxa"/>
          </w:tcPr>
          <w:p w14:paraId="7464A049" w14:textId="0BADF134" w:rsidR="00302080" w:rsidRDefault="00302080" w:rsidP="00302080">
            <w:pPr>
              <w:spacing w:before="60" w:after="60" w:line="288" w:lineRule="auto"/>
              <w:jc w:val="center"/>
              <w:rPr>
                <w:i/>
                <w:sz w:val="28"/>
                <w:szCs w:val="28"/>
              </w:rPr>
            </w:pPr>
            <w:r w:rsidRPr="003E0A28">
              <w:rPr>
                <w:i/>
                <w:sz w:val="28"/>
                <w:szCs w:val="28"/>
              </w:rPr>
              <w:t>……….,ngày……tháng…</w:t>
            </w:r>
            <w:bookmarkStart w:id="1" w:name="_GoBack"/>
            <w:bookmarkEnd w:id="1"/>
            <w:r w:rsidRPr="003E0A28">
              <w:rPr>
                <w:i/>
                <w:sz w:val="28"/>
                <w:szCs w:val="28"/>
              </w:rPr>
              <w:t xml:space="preserve"> năm</w:t>
            </w:r>
            <w:r w:rsidRPr="003E0A28">
              <w:rPr>
                <w:sz w:val="28"/>
                <w:szCs w:val="28"/>
              </w:rPr>
              <w:t xml:space="preserve"> </w:t>
            </w:r>
            <w:r w:rsidRPr="003E0A28">
              <w:rPr>
                <w:i/>
                <w:sz w:val="28"/>
                <w:szCs w:val="28"/>
              </w:rPr>
              <w:t>……</w:t>
            </w:r>
          </w:p>
          <w:p w14:paraId="68D2E3C6" w14:textId="77777777" w:rsidR="00E93BE0" w:rsidRPr="00157043" w:rsidRDefault="00E93BE0" w:rsidP="00043AC0">
            <w:pPr>
              <w:pStyle w:val="ListParagraph"/>
              <w:tabs>
                <w:tab w:val="left" w:leader="dot" w:pos="9072"/>
              </w:tabs>
              <w:spacing w:before="60" w:after="60" w:line="288" w:lineRule="auto"/>
              <w:ind w:left="0"/>
              <w:contextualSpacing w:val="0"/>
              <w:jc w:val="center"/>
              <w:rPr>
                <w:b/>
                <w:bCs w:val="0"/>
                <w:sz w:val="26"/>
                <w:szCs w:val="26"/>
              </w:rPr>
            </w:pPr>
            <w:r w:rsidRPr="00157043">
              <w:rPr>
                <w:b/>
                <w:bCs w:val="0"/>
                <w:sz w:val="26"/>
                <w:szCs w:val="26"/>
              </w:rPr>
              <w:t>Bên Nhận Chuyển Nhượng</w:t>
            </w:r>
          </w:p>
          <w:p w14:paraId="7D791CE9" w14:textId="77777777" w:rsidR="00E93BE0" w:rsidRPr="00157043" w:rsidRDefault="00E93BE0" w:rsidP="00043AC0">
            <w:pPr>
              <w:pStyle w:val="ListParagraph"/>
              <w:tabs>
                <w:tab w:val="left" w:leader="dot" w:pos="9072"/>
              </w:tabs>
              <w:spacing w:before="60" w:after="60" w:line="288" w:lineRule="auto"/>
              <w:ind w:left="0"/>
              <w:contextualSpacing w:val="0"/>
              <w:jc w:val="center"/>
              <w:rPr>
                <w:i/>
                <w:iCs/>
                <w:sz w:val="26"/>
                <w:szCs w:val="26"/>
              </w:rPr>
            </w:pPr>
            <w:r w:rsidRPr="00157043">
              <w:rPr>
                <w:i/>
                <w:iCs/>
                <w:sz w:val="26"/>
                <w:szCs w:val="26"/>
              </w:rPr>
              <w:t>(Ký, ghi rõ họ tên và đóng dấu nếu có)</w:t>
            </w:r>
          </w:p>
        </w:tc>
      </w:tr>
      <w:tr w:rsidR="00E93BE0" w:rsidRPr="004204AA" w14:paraId="26BC369D" w14:textId="77777777" w:rsidTr="00043AC0">
        <w:trPr>
          <w:trHeight w:val="3396"/>
        </w:trPr>
        <w:tc>
          <w:tcPr>
            <w:tcW w:w="8702" w:type="dxa"/>
            <w:gridSpan w:val="2"/>
          </w:tcPr>
          <w:p w14:paraId="6BDD6017" w14:textId="77777777" w:rsidR="00E93BE0" w:rsidRPr="004204AA" w:rsidRDefault="00E93BE0" w:rsidP="00043AC0">
            <w:pPr>
              <w:pStyle w:val="ListParagraph"/>
              <w:tabs>
                <w:tab w:val="left" w:leader="dot" w:pos="9072"/>
              </w:tabs>
              <w:spacing w:before="60" w:after="60" w:line="288" w:lineRule="auto"/>
              <w:ind w:left="0"/>
              <w:contextualSpacing w:val="0"/>
              <w:jc w:val="center"/>
              <w:rPr>
                <w:b/>
                <w:bCs w:val="0"/>
                <w:sz w:val="26"/>
                <w:szCs w:val="26"/>
              </w:rPr>
            </w:pPr>
            <w:r w:rsidRPr="004204AA">
              <w:rPr>
                <w:b/>
                <w:bCs w:val="0"/>
                <w:sz w:val="26"/>
                <w:szCs w:val="26"/>
              </w:rPr>
              <w:t>Xác nhận của Tổng công ty Điện lực Dầu khí Việt Nam – CTCP</w:t>
            </w:r>
          </w:p>
        </w:tc>
      </w:tr>
    </w:tbl>
    <w:p w14:paraId="1D87DA03" w14:textId="77777777" w:rsidR="00D410E6" w:rsidRDefault="00D410E6"/>
    <w:sectPr w:rsidR="00D410E6" w:rsidSect="00D06437">
      <w:pgSz w:w="11907" w:h="16839" w:code="9"/>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guyễn Thế Vinh" w:date="2025-12-10T16:52:00Z" w:initials="NV">
    <w:p w14:paraId="07497A87" w14:textId="77777777" w:rsidR="00E93BE0" w:rsidRDefault="00E93BE0" w:rsidP="00E93BE0">
      <w:pPr>
        <w:pStyle w:val="CommentText"/>
      </w:pPr>
      <w:r>
        <w:rPr>
          <w:rStyle w:val="CommentReference"/>
        </w:rPr>
        <w:annotationRef/>
      </w:r>
      <w:hyperlink r:id="rId1" w:history="1">
        <w:r w:rsidRPr="00493446">
          <w:rPr>
            <w:rStyle w:val="Hyperlink"/>
            <w:highlight w:val="yellow"/>
          </w:rPr>
          <w:t>Thông tư 111/2013/TT-BTC Hướng dẫn Luật thuế thu nhập cá nhân và Nghị định 65/2013/NĐ-CP mới nhất</w:t>
        </w:r>
      </w:hyperlink>
      <w:r>
        <w:rPr>
          <w:color w:val="000000"/>
          <w:highlight w:val="yellow"/>
        </w:rPr>
        <w:t xml:space="preserve"> </w:t>
      </w:r>
    </w:p>
    <w:p w14:paraId="28EE3787" w14:textId="77777777" w:rsidR="00E93BE0" w:rsidRDefault="00E93BE0" w:rsidP="00E93BE0">
      <w:pPr>
        <w:pStyle w:val="CommentText"/>
      </w:pPr>
    </w:p>
    <w:p w14:paraId="55D50F82" w14:textId="77777777" w:rsidR="00E93BE0" w:rsidRDefault="00E93BE0" w:rsidP="00E93BE0">
      <w:pPr>
        <w:pStyle w:val="CommentText"/>
      </w:pPr>
      <w:r>
        <w:rPr>
          <w:color w:val="000000"/>
          <w:highlight w:val="yellow"/>
        </w:rPr>
        <w:t>b) Thu nhập từ chuyển nhượng chứng khoán, bao gồm: thu nhập từ chuyển nhượng cổ phiếu, quyền mua cổ phiếu, trái phiếu, tín phiếu, chứng chỉ quỹ và các loại chứng khoán khác theo quy định của Luật Chứng khoán; thu nhập từ chuyển nhượng cổ phần của các cá nhân trong công ty cổ phần theo quy định của Luật Doanh nghiệp.</w:t>
      </w:r>
      <w:r>
        <w:t xml:space="preserve"> </w:t>
      </w:r>
    </w:p>
    <w:p w14:paraId="69C0C36B" w14:textId="77777777" w:rsidR="00E93BE0" w:rsidRDefault="00E93BE0" w:rsidP="00E93BE0">
      <w:pPr>
        <w:pStyle w:val="CommentText"/>
      </w:pPr>
    </w:p>
    <w:p w14:paraId="2315CDDE" w14:textId="77777777" w:rsidR="00E93BE0" w:rsidRDefault="00E93BE0" w:rsidP="00E93BE0">
      <w:pPr>
        <w:pStyle w:val="CommentText"/>
      </w:pPr>
    </w:p>
    <w:p w14:paraId="16878A01" w14:textId="77777777" w:rsidR="00E93BE0" w:rsidRDefault="00302080" w:rsidP="00E93BE0">
      <w:pPr>
        <w:pStyle w:val="CommentText"/>
      </w:pPr>
      <w:hyperlink r:id="rId2" w:history="1">
        <w:r w:rsidR="00E93BE0" w:rsidRPr="00493446">
          <w:rPr>
            <w:rStyle w:val="Hyperlink"/>
          </w:rPr>
          <w:t>Thông tư 92/2015/TT-BTC hướng dẫn thuế giá trị gia tăng thuế thu nhập cá nhân mới nhất</w:t>
        </w:r>
      </w:hyperlink>
      <w:r w:rsidR="00E93BE0">
        <w:t xml:space="preserve"> </w:t>
      </w:r>
    </w:p>
    <w:p w14:paraId="68C5FF5C" w14:textId="77777777" w:rsidR="00E93BE0" w:rsidRDefault="00E93BE0" w:rsidP="00E93BE0">
      <w:pPr>
        <w:pStyle w:val="CommentText"/>
      </w:pPr>
    </w:p>
    <w:p w14:paraId="0EE252B4" w14:textId="77777777" w:rsidR="00E93BE0" w:rsidRDefault="00E93BE0" w:rsidP="00E93BE0">
      <w:pPr>
        <w:pStyle w:val="CommentText"/>
      </w:pPr>
      <w:r>
        <w:rPr>
          <w:color w:val="000000"/>
          <w:highlight w:val="white"/>
        </w:rPr>
        <w:t>b) Thuế suất và cách tính thuế:</w:t>
      </w:r>
    </w:p>
    <w:p w14:paraId="1B8B748C" w14:textId="77777777" w:rsidR="00E93BE0" w:rsidRDefault="00E93BE0" w:rsidP="00E93BE0">
      <w:pPr>
        <w:pStyle w:val="CommentText"/>
      </w:pPr>
      <w:r>
        <w:rPr>
          <w:color w:val="000000"/>
          <w:highlight w:val="white"/>
        </w:rPr>
        <w:t>Cá nhân chuyển nhượng chứng khoán nộp thuế theo thuế suất 0,1% trên giá chuyển nhượng chứng khoán từng lần.</w:t>
      </w:r>
    </w:p>
    <w:p w14:paraId="5002D854" w14:textId="77777777" w:rsidR="00E93BE0" w:rsidRDefault="00E93BE0" w:rsidP="00E93BE0">
      <w:pPr>
        <w:pStyle w:val="CommentText"/>
      </w:pPr>
      <w:r>
        <w:rPr>
          <w:color w:val="000000"/>
          <w:highlight w:val="white"/>
        </w:rPr>
        <w:t>Cách tính thuế:</w:t>
      </w:r>
    </w:p>
    <w:p w14:paraId="1831F492" w14:textId="77777777" w:rsidR="00E93BE0" w:rsidRDefault="00E93BE0" w:rsidP="00E93BE0">
      <w:pPr>
        <w:pStyle w:val="CommentText"/>
      </w:pPr>
      <w:r>
        <w:t>Thuế thu nhập cá nhân phải nộp</w:t>
      </w:r>
    </w:p>
    <w:p w14:paraId="4F8047A6" w14:textId="77777777" w:rsidR="00E93BE0" w:rsidRDefault="00E93BE0" w:rsidP="00E93BE0">
      <w:pPr>
        <w:pStyle w:val="CommentText"/>
      </w:pPr>
      <w:r>
        <w:t>=</w:t>
      </w:r>
    </w:p>
    <w:p w14:paraId="07499781" w14:textId="77777777" w:rsidR="00E93BE0" w:rsidRDefault="00E93BE0" w:rsidP="00E93BE0">
      <w:pPr>
        <w:pStyle w:val="CommentText"/>
      </w:pPr>
      <w:r>
        <w:t>Giá chuyển nhượng chứng khoán từng lần</w:t>
      </w:r>
    </w:p>
    <w:p w14:paraId="2D45EE6E" w14:textId="77777777" w:rsidR="00E93BE0" w:rsidRDefault="00E93BE0" w:rsidP="00E93BE0">
      <w:pPr>
        <w:pStyle w:val="CommentText"/>
      </w:pPr>
      <w:r>
        <w:t>x</w:t>
      </w:r>
    </w:p>
    <w:p w14:paraId="6ED8BF22" w14:textId="77777777" w:rsidR="00E93BE0" w:rsidRDefault="00E93BE0" w:rsidP="00E93BE0">
      <w:pPr>
        <w:pStyle w:val="CommentText"/>
      </w:pPr>
      <w:r>
        <w:t>Thuế suất 0,1%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D8BF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C8F7019" w16cex:dateUtc="2025-12-1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D8BF22" w16cid:durableId="1C8F70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A572D"/>
    <w:multiLevelType w:val="hybridMultilevel"/>
    <w:tmpl w:val="53267412"/>
    <w:lvl w:ilvl="0" w:tplc="210C419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ễn Thế Vinh">
    <w15:presenceInfo w15:providerId="AD" w15:userId="S::vinhnt1@psi.vn::f55733b8-38d1-4e72-9dcf-79916d548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E0"/>
    <w:rsid w:val="00027746"/>
    <w:rsid w:val="000F08EB"/>
    <w:rsid w:val="001011D1"/>
    <w:rsid w:val="00157043"/>
    <w:rsid w:val="002D6EAC"/>
    <w:rsid w:val="00302080"/>
    <w:rsid w:val="003A2BCF"/>
    <w:rsid w:val="00A54C11"/>
    <w:rsid w:val="00A626A6"/>
    <w:rsid w:val="00BE6076"/>
    <w:rsid w:val="00D06437"/>
    <w:rsid w:val="00D236C9"/>
    <w:rsid w:val="00D410E6"/>
    <w:rsid w:val="00E12C3F"/>
    <w:rsid w:val="00E93BE0"/>
    <w:rsid w:val="00F8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6127"/>
  <w15:chartTrackingRefBased/>
  <w15:docId w15:val="{6E045182-E768-4BDB-BA91-8EEA76FC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hang2,Use Case List Paragraph,List Paragraph1,Figure_name,b1,Bullet for no #'s,B1,Body Bullet,List bullet,List Paragraph 1,Ref,Colorful List - Accent 11,Table Number Paragraph,Paragraph,Bullet List,FooterText,numbered,列出段落,1.,level 1,列出段"/>
    <w:basedOn w:val="Normal"/>
    <w:link w:val="ListParagraphChar"/>
    <w:uiPriority w:val="34"/>
    <w:qFormat/>
    <w:rsid w:val="00E93BE0"/>
    <w:pPr>
      <w:ind w:left="720"/>
      <w:contextualSpacing/>
    </w:pPr>
  </w:style>
  <w:style w:type="character" w:customStyle="1" w:styleId="ListParagraphChar">
    <w:name w:val="List Paragraph Char"/>
    <w:aliases w:val="Thang2 Char,Use Case List Paragraph Char,List Paragraph1 Char,Figure_name Char,b1 Char,Bullet for no #'s Char,B1 Char,Body Bullet Char,List bullet Char,List Paragraph 1 Char,Ref Char,Colorful List - Accent 11 Char,Paragraph Char"/>
    <w:link w:val="ListParagraph"/>
    <w:uiPriority w:val="34"/>
    <w:qFormat/>
    <w:locked/>
    <w:rsid w:val="00E93BE0"/>
  </w:style>
  <w:style w:type="table" w:styleId="TableGrid">
    <w:name w:val="Table Grid"/>
    <w:basedOn w:val="TableNormal"/>
    <w:uiPriority w:val="39"/>
    <w:rsid w:val="00E9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BE0"/>
    <w:rPr>
      <w:color w:val="0563C1" w:themeColor="hyperlink"/>
      <w:u w:val="single"/>
    </w:rPr>
  </w:style>
  <w:style w:type="character" w:styleId="CommentReference">
    <w:name w:val="annotation reference"/>
    <w:basedOn w:val="DefaultParagraphFont"/>
    <w:uiPriority w:val="99"/>
    <w:semiHidden/>
    <w:unhideWhenUsed/>
    <w:rsid w:val="00E93BE0"/>
    <w:rPr>
      <w:sz w:val="16"/>
      <w:szCs w:val="16"/>
    </w:rPr>
  </w:style>
  <w:style w:type="paragraph" w:styleId="CommentText">
    <w:name w:val="annotation text"/>
    <w:basedOn w:val="Normal"/>
    <w:link w:val="CommentTextChar"/>
    <w:uiPriority w:val="99"/>
    <w:unhideWhenUsed/>
    <w:rsid w:val="00E93BE0"/>
    <w:pPr>
      <w:spacing w:line="240" w:lineRule="auto"/>
    </w:pPr>
    <w:rPr>
      <w:sz w:val="20"/>
      <w:szCs w:val="20"/>
    </w:rPr>
  </w:style>
  <w:style w:type="character" w:customStyle="1" w:styleId="CommentTextChar">
    <w:name w:val="Comment Text Char"/>
    <w:basedOn w:val="DefaultParagraphFont"/>
    <w:link w:val="CommentText"/>
    <w:uiPriority w:val="99"/>
    <w:rsid w:val="00E93BE0"/>
    <w:rPr>
      <w:sz w:val="20"/>
      <w:szCs w:val="20"/>
    </w:rPr>
  </w:style>
  <w:style w:type="paragraph" w:styleId="BalloonText">
    <w:name w:val="Balloon Text"/>
    <w:basedOn w:val="Normal"/>
    <w:link w:val="BalloonTextChar"/>
    <w:uiPriority w:val="99"/>
    <w:semiHidden/>
    <w:unhideWhenUsed/>
    <w:rsid w:val="00E93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thuvienphapluat.vn/van-ban/Thue-Phi-Le-Phi/Thong-tu-92-2015-TT-BTC-huong-dan-thue-gia-tri-gia-tang-thue-thu-nhap-ca-nhan-282089.aspx?anchor=dieu_16" TargetMode="External"/><Relationship Id="rId1" Type="http://schemas.openxmlformats.org/officeDocument/2006/relationships/hyperlink" Target="https://thuvienphapluat.vn/van-ban/Thue-Phi-Le-Phi/Thong-tu-111-2013-TT-BTC-Huong-dan-Luat-thue-thu-nhap-ca-nhan-va-Nghi-dinh-65-2013-ND-CP-205356.aspx"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Vũ Hà My</dc:creator>
  <cp:keywords/>
  <dc:description/>
  <cp:lastModifiedBy>Admin</cp:lastModifiedBy>
  <cp:revision>4</cp:revision>
  <cp:lastPrinted>2025-12-15T08:29:00Z</cp:lastPrinted>
  <dcterms:created xsi:type="dcterms:W3CDTF">2025-12-15T08:29:00Z</dcterms:created>
  <dcterms:modified xsi:type="dcterms:W3CDTF">2025-12-15T08:33:00Z</dcterms:modified>
</cp:coreProperties>
</file>