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ind w:right="40"/>
        <w:jc w:val="center"/>
        <w:rPr>
          <w:lang w:val="en-US"/>
        </w:rPr>
      </w:pPr>
      <w:bookmarkStart w:id="0" w:name="_GoBack"/>
      <w:bookmarkEnd w:id="0"/>
      <w:r>
        <w:rPr>
          <w:lang w:val="en-US"/>
        </w:rPr>
        <w:t>CHƯƠNG TRÌNH ĐÀO TẠO</w:t>
      </w:r>
    </w:p>
    <w:p>
      <w:pPr>
        <w:ind w:firstLine="706"/>
        <w:jc w:val="center"/>
        <w:rPr>
          <w:b/>
          <w:sz w:val="28"/>
          <w:szCs w:val="28"/>
        </w:rPr>
      </w:pPr>
      <w:r>
        <w:rPr>
          <w:b/>
          <w:sz w:val="28"/>
          <w:szCs w:val="28"/>
        </w:rPr>
        <w:t xml:space="preserve">“Nâng cao kiến thức về kỹ thuật cháy và công nghệ đốt than, dầu trong lò hơi - Nguyên nhân và cách xử lý các vấn đề gây ra hư hỏng  và ảnh hưởng đến hiệu suất cháy và buồng đốt lò hơi nhà máy nhiệt điện tổ máy 600 MW” </w:t>
      </w:r>
      <w:r>
        <w:rPr>
          <w:b/>
          <w:sz w:val="28"/>
          <w:szCs w:val="28"/>
        </w:rPr>
        <w:br w:type="textWrapping"/>
      </w:r>
      <w:r>
        <w:rPr>
          <w:b/>
          <w:sz w:val="28"/>
          <w:szCs w:val="28"/>
        </w:rPr>
        <w:t>dành cho cán bộ kỹ thuật của Tổng công ty</w:t>
      </w:r>
    </w:p>
    <w:p>
      <w:pPr>
        <w:ind w:firstLine="706"/>
        <w:jc w:val="center"/>
        <w:rPr>
          <w:b/>
          <w:sz w:val="28"/>
          <w:szCs w:val="28"/>
        </w:rPr>
      </w:pPr>
      <w:r>
        <w:rPr>
          <w:b/>
          <w:sz w:val="28"/>
          <w:szCs w:val="28"/>
        </w:rPr>
        <mc:AlternateContent>
          <mc:Choice Requires="wps">
            <w:drawing>
              <wp:anchor distT="0" distB="0" distL="114300" distR="114300" simplePos="0" relativeHeight="251659264" behindDoc="0" locked="0" layoutInCell="1" allowOverlap="1">
                <wp:simplePos x="0" y="0"/>
                <wp:positionH relativeFrom="column">
                  <wp:posOffset>1790065</wp:posOffset>
                </wp:positionH>
                <wp:positionV relativeFrom="paragraph">
                  <wp:posOffset>52070</wp:posOffset>
                </wp:positionV>
                <wp:extent cx="2143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0.95pt;margin-top:4.1pt;height:0pt;width:168.75pt;z-index:251659264;mso-width-relative:page;mso-height-relative:page;" filled="f" stroked="t" coordsize="21600,21600" o:gfxdata="UEsFBgAAAAAAAAAAAAAAAAAAAAAAAFBLAwQKAAAAAACHTuJAAAAAAAAAAAAAAAAABAAAAGRycy9Q&#10;SwMEFAAAAAgAh07iQEiNjrrWAAAABwEAAA8AAABkcnMvZG93bnJldi54bWxNjlFLwzAUhd8F/0O4&#10;gm8uadHR1aZDBGGCDDYF9S1t7tqy5KYk2db9e+Ne9PFwDt/5quVkDTuiD4MjCdlMAENqnR6ok/Dx&#10;/nJXAAtRkVbGEUo4Y4BlfX1VqVK7E23wuI0dSxAKpZLQxziWnIe2R6vCzI1Iqds5b1VM0Xdce3VK&#10;cGt4LsScWzVQeujViM89tvvtwUpo1t5/PXx/jubpbSPWU1g5/7qS8vYmE4/AIk7xbwy/+kkd6uTU&#10;uAPpwIyEvMgWaSqhyIGlfp4t7oE1l8zriv/3r38AUEsDBBQAAAAIAIdO4kDSDvAu2QEAALQDAAAO&#10;AAAAZHJzL2Uyb0RvYy54bWytU8tu2zAQvBfoPxC817KdOkgFywFiI70UrYG0H7CmKIkAX9hlLPvv&#10;u6Qcp00vOVQHarmPWc5wub4/OSuOGskE38jFbC6F9iq0xveN/PXz8dOdFJTAt2CD1408a5L3m48f&#10;1mOs9TIMwbYaBYN4qsfYyCGlWFcVqUE7oFmI2nOwC+gg8Rb7qkUYGd3Zajmf31ZjwDZiUJqIvbsp&#10;KC+I+B7A0HVG6V1Qz077NKGitpCYEg0mktyU03adVulH15FOwjaSmaaychO2D3mtNmuoe4Q4GHU5&#10;ArznCG84OTCem16hdpBAPKP5B8oZhYFCl2YquGoiUhRhFov5G22eBoi6cGGpKV5Fp/8Hq74f9yhM&#10;y5MghQfHF/6UEEw/JLEN3rOAAcUi6zRGqjl96/d42VHcYyZ96tDlP9MRp6Lt+aqtPiWh2LlcfL5Z&#10;LFdSqJdY9VoYkdJXHZzIRiOt8Zk21HD8RombcepLSnb78GisLVdnvRgbeXuz4gtVwOPY8Riw6SJT&#10;It9LAbbnOVcJCyIFa9pcnXEI+8PWojgCT8fq4cvDbpWJcre/0nLrHdAw5ZXQNDfOJH4K1rhG3s3z&#10;d6m2nkGyXJNA2TqE9lx0K36+zNLmMnh5Wv7cl+rXx7b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iNjrrWAAAABwEAAA8AAAAAAAAAAQAgAAAAOAAAAGRycy9kb3ducmV2LnhtbFBLAQIUABQAAAAI&#10;AIdO4kDSDvAu2QEAALQDAAAOAAAAAAAAAAEAIAAAADsBAABkcnMvZTJvRG9jLnhtbFBLBQYAAAAA&#10;BgAGAFkBAACGBQAAAAA=&#10;">
                <v:fill on="f" focussize="0,0"/>
                <v:stroke weight="0.5pt" color="#5B9BD5 [3204]" miterlimit="8" joinstyle="miter"/>
                <v:imagedata o:title=""/>
                <o:lock v:ext="edit" aspectratio="f"/>
              </v:line>
            </w:pict>
          </mc:Fallback>
        </mc:AlternateContent>
      </w:r>
    </w:p>
    <w:p>
      <w:pPr>
        <w:spacing w:before="40" w:after="40" w:line="400" w:lineRule="exact"/>
        <w:ind w:firstLine="706"/>
        <w:jc w:val="both"/>
        <w:rPr>
          <w:sz w:val="28"/>
          <w:szCs w:val="28"/>
        </w:rPr>
      </w:pPr>
      <w:r>
        <w:rPr>
          <w:sz w:val="28"/>
          <w:szCs w:val="28"/>
        </w:rPr>
        <w:t>- Thời lượng: 05 ngày;</w:t>
      </w:r>
    </w:p>
    <w:p>
      <w:pPr>
        <w:spacing w:before="40" w:after="40" w:line="400" w:lineRule="exact"/>
        <w:ind w:firstLine="706"/>
        <w:jc w:val="both"/>
        <w:rPr>
          <w:sz w:val="28"/>
          <w:szCs w:val="28"/>
        </w:rPr>
      </w:pPr>
      <w:r>
        <w:rPr>
          <w:sz w:val="28"/>
          <w:szCs w:val="28"/>
        </w:rPr>
        <w:t>- Thời gian dự kiến: Tháng 9/2024;</w:t>
      </w:r>
    </w:p>
    <w:p>
      <w:pPr>
        <w:spacing w:before="40" w:after="40" w:line="400" w:lineRule="exact"/>
        <w:ind w:firstLine="706"/>
        <w:jc w:val="both"/>
        <w:rPr>
          <w:spacing w:val="-10"/>
          <w:sz w:val="28"/>
          <w:szCs w:val="28"/>
        </w:rPr>
      </w:pPr>
      <w:r>
        <w:rPr>
          <w:sz w:val="28"/>
          <w:szCs w:val="28"/>
        </w:rPr>
        <w:t xml:space="preserve">- </w:t>
      </w:r>
      <w:r>
        <w:rPr>
          <w:spacing w:val="-10"/>
          <w:sz w:val="28"/>
          <w:szCs w:val="28"/>
        </w:rPr>
        <w:t>Địa điểm tổ chức đào tạo: Công ty Điện lực Dầu khí Hà Tĩnh, xã Kỳ Lợi, huyện Kỳ Anh, tỉnh Hà Tĩnh.</w:t>
      </w:r>
    </w:p>
    <w:p>
      <w:pPr>
        <w:spacing w:before="40" w:after="40" w:line="400" w:lineRule="exact"/>
        <w:ind w:firstLine="706"/>
        <w:jc w:val="both"/>
        <w:rPr>
          <w:color w:val="00B050"/>
          <w:spacing w:val="-10"/>
          <w:sz w:val="28"/>
          <w:szCs w:val="28"/>
        </w:rPr>
      </w:pP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60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4"/>
              <w:spacing w:before="120" w:after="120"/>
              <w:jc w:val="center"/>
              <w:rPr>
                <w:sz w:val="24"/>
                <w:szCs w:val="24"/>
                <w:lang w:val="vi-VN"/>
              </w:rPr>
            </w:pPr>
            <w:r>
              <w:rPr>
                <w:sz w:val="24"/>
                <w:szCs w:val="24"/>
                <w:lang w:val="vi-VN"/>
              </w:rPr>
              <w:t>STT</w:t>
            </w:r>
          </w:p>
        </w:tc>
        <w:tc>
          <w:tcPr>
            <w:tcW w:w="6604" w:type="dxa"/>
          </w:tcPr>
          <w:p>
            <w:pPr>
              <w:pStyle w:val="4"/>
              <w:spacing w:before="120" w:after="120"/>
              <w:jc w:val="center"/>
              <w:rPr>
                <w:sz w:val="24"/>
                <w:szCs w:val="24"/>
                <w:lang w:val="vi-VN"/>
              </w:rPr>
            </w:pPr>
            <w:r>
              <w:rPr>
                <w:sz w:val="24"/>
                <w:szCs w:val="24"/>
                <w:lang w:val="vi-VN"/>
              </w:rPr>
              <w:t>Nội dung</w:t>
            </w:r>
          </w:p>
        </w:tc>
        <w:tc>
          <w:tcPr>
            <w:tcW w:w="1589" w:type="dxa"/>
          </w:tcPr>
          <w:p>
            <w:pPr>
              <w:pStyle w:val="4"/>
              <w:spacing w:before="120" w:after="120"/>
              <w:jc w:val="center"/>
              <w:rPr>
                <w:sz w:val="24"/>
                <w:szCs w:val="24"/>
                <w:lang w:val="vi-VN"/>
              </w:rPr>
            </w:pPr>
            <w:r>
              <w:rPr>
                <w:sz w:val="24"/>
                <w:szCs w:val="24"/>
                <w:lang w:val="vi-VN"/>
              </w:rPr>
              <w:t>Thời lượng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4"/>
              <w:spacing w:before="0"/>
              <w:rPr>
                <w:sz w:val="24"/>
                <w:szCs w:val="24"/>
              </w:rPr>
            </w:pPr>
            <w:r>
              <w:rPr>
                <w:sz w:val="24"/>
                <w:szCs w:val="24"/>
              </w:rPr>
              <w:t>I</w:t>
            </w:r>
          </w:p>
        </w:tc>
        <w:tc>
          <w:tcPr>
            <w:tcW w:w="6604" w:type="dxa"/>
          </w:tcPr>
          <w:p>
            <w:pPr>
              <w:numPr>
                <w:ilvl w:val="0"/>
                <w:numId w:val="1"/>
              </w:numPr>
              <w:shd w:val="clear" w:color="auto" w:fill="FFFFFF"/>
              <w:spacing w:line="288" w:lineRule="auto"/>
              <w:ind w:left="0"/>
              <w:rPr>
                <w:b/>
                <w:sz w:val="26"/>
              </w:rPr>
            </w:pPr>
            <w:r>
              <w:rPr>
                <w:b/>
                <w:sz w:val="26"/>
              </w:rPr>
              <w:t>Chương 1. Nhiên liệu, cân bằng vật chất và cân bằng nhiệt của buồng đốt</w:t>
            </w:r>
          </w:p>
          <w:p>
            <w:pPr>
              <w:numPr>
                <w:ilvl w:val="2"/>
                <w:numId w:val="2"/>
              </w:numPr>
              <w:spacing w:line="288" w:lineRule="auto"/>
              <w:ind w:left="0"/>
              <w:contextualSpacing/>
              <w:rPr>
                <w:i/>
                <w:sz w:val="26"/>
              </w:rPr>
            </w:pPr>
            <w:r>
              <w:rPr>
                <w:i/>
                <w:sz w:val="26"/>
              </w:rPr>
              <w:t>1.1. Loại nhiên liệu</w:t>
            </w:r>
          </w:p>
          <w:p>
            <w:pPr>
              <w:numPr>
                <w:ilvl w:val="2"/>
                <w:numId w:val="2"/>
              </w:numPr>
              <w:spacing w:line="288" w:lineRule="auto"/>
              <w:ind w:left="0"/>
              <w:contextualSpacing/>
              <w:rPr>
                <w:sz w:val="26"/>
              </w:rPr>
            </w:pPr>
            <w:r>
              <w:rPr>
                <w:sz w:val="26"/>
              </w:rPr>
              <w:t xml:space="preserve">1.1.1. Phân loại than </w:t>
            </w:r>
          </w:p>
          <w:p>
            <w:pPr>
              <w:numPr>
                <w:ilvl w:val="2"/>
                <w:numId w:val="2"/>
              </w:numPr>
              <w:spacing w:line="288" w:lineRule="auto"/>
              <w:ind w:left="0"/>
              <w:contextualSpacing/>
              <w:rPr>
                <w:sz w:val="26"/>
              </w:rPr>
            </w:pPr>
            <w:r>
              <w:rPr>
                <w:sz w:val="26"/>
              </w:rPr>
              <w:t>1.1.2.Dầu</w:t>
            </w:r>
          </w:p>
          <w:p>
            <w:pPr>
              <w:numPr>
                <w:ilvl w:val="2"/>
                <w:numId w:val="2"/>
              </w:numPr>
              <w:spacing w:line="288" w:lineRule="auto"/>
              <w:ind w:left="0"/>
              <w:contextualSpacing/>
              <w:rPr>
                <w:sz w:val="26"/>
              </w:rPr>
            </w:pPr>
            <w:r>
              <w:rPr>
                <w:sz w:val="26"/>
              </w:rPr>
              <w:t xml:space="preserve">1.1.3. Thành phần công nghệ </w:t>
            </w:r>
          </w:p>
          <w:p>
            <w:pPr>
              <w:numPr>
                <w:ilvl w:val="2"/>
                <w:numId w:val="2"/>
              </w:numPr>
              <w:spacing w:line="288" w:lineRule="auto"/>
              <w:ind w:left="0"/>
              <w:contextualSpacing/>
              <w:rPr>
                <w:sz w:val="26"/>
              </w:rPr>
            </w:pPr>
            <w:r>
              <w:rPr>
                <w:sz w:val="26"/>
              </w:rPr>
              <w:t>1.1.4.Thành phần hoá học của nhiên liệu</w:t>
            </w:r>
          </w:p>
          <w:p>
            <w:pPr>
              <w:spacing w:line="288" w:lineRule="auto"/>
              <w:rPr>
                <w:i/>
                <w:sz w:val="26"/>
              </w:rPr>
            </w:pPr>
            <w:r>
              <w:rPr>
                <w:i/>
                <w:sz w:val="26"/>
              </w:rPr>
              <w:t>1.2.    Cân bằng vật chất của quá trình cháy</w:t>
            </w:r>
          </w:p>
          <w:p>
            <w:pPr>
              <w:spacing w:line="288" w:lineRule="auto"/>
              <w:rPr>
                <w:sz w:val="26"/>
              </w:rPr>
            </w:pPr>
            <w:r>
              <w:rPr>
                <w:sz w:val="26"/>
              </w:rPr>
              <w:t>1.2.1. Tiêu hao không khí và hệ số không khí</w:t>
            </w:r>
          </w:p>
          <w:p>
            <w:pPr>
              <w:spacing w:line="288" w:lineRule="auto"/>
              <w:rPr>
                <w:sz w:val="26"/>
              </w:rPr>
            </w:pPr>
            <w:r>
              <w:rPr>
                <w:sz w:val="26"/>
              </w:rPr>
              <w:t>1.2.2. Sản phẩm cháy</w:t>
            </w:r>
          </w:p>
          <w:p>
            <w:pPr>
              <w:spacing w:line="288" w:lineRule="auto"/>
              <w:rPr>
                <w:sz w:val="26"/>
              </w:rPr>
            </w:pPr>
            <w:r>
              <w:rPr>
                <w:sz w:val="26"/>
              </w:rPr>
              <w:t>1.2.3. Cháy hoàn toàn và cháy không hoàn toàn</w:t>
            </w:r>
          </w:p>
          <w:p>
            <w:pPr>
              <w:spacing w:line="288" w:lineRule="auto"/>
              <w:rPr>
                <w:i/>
                <w:sz w:val="26"/>
              </w:rPr>
            </w:pPr>
            <w:r>
              <w:rPr>
                <w:i/>
                <w:sz w:val="26"/>
              </w:rPr>
              <w:t>1.3. Cân bằng nhiệt của buồng đốt</w:t>
            </w:r>
          </w:p>
          <w:p>
            <w:pPr>
              <w:spacing w:line="288" w:lineRule="auto"/>
              <w:rPr>
                <w:sz w:val="26"/>
              </w:rPr>
            </w:pPr>
            <w:r>
              <w:rPr>
                <w:sz w:val="26"/>
              </w:rPr>
              <w:t xml:space="preserve">1.3.1. Enthanpy sản phẩm cháy và nhiệt độ cháy </w:t>
            </w:r>
          </w:p>
          <w:p>
            <w:pPr>
              <w:spacing w:line="288" w:lineRule="auto"/>
            </w:pPr>
            <w:r>
              <w:rPr>
                <w:sz w:val="26"/>
              </w:rPr>
              <w:t>1.3.2. Cân bằng nhiệt</w:t>
            </w:r>
          </w:p>
        </w:tc>
        <w:tc>
          <w:tcPr>
            <w:tcW w:w="1589" w:type="dxa"/>
          </w:tcPr>
          <w:p>
            <w:pPr>
              <w:pStyle w:val="4"/>
              <w:spacing w:before="0"/>
              <w:rPr>
                <w:b w:val="0"/>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4"/>
              <w:spacing w:before="0"/>
              <w:rPr>
                <w:szCs w:val="24"/>
              </w:rPr>
            </w:pPr>
            <w:r>
              <w:rPr>
                <w:szCs w:val="24"/>
              </w:rPr>
              <w:t>II</w:t>
            </w:r>
          </w:p>
        </w:tc>
        <w:tc>
          <w:tcPr>
            <w:tcW w:w="6604" w:type="dxa"/>
          </w:tcPr>
          <w:p>
            <w:pPr>
              <w:spacing w:line="288" w:lineRule="auto"/>
              <w:ind w:hanging="87"/>
              <w:rPr>
                <w:b/>
                <w:sz w:val="26"/>
              </w:rPr>
            </w:pPr>
            <w:r>
              <w:rPr>
                <w:b/>
                <w:sz w:val="26"/>
              </w:rPr>
              <w:t xml:space="preserve">Chương 2. Kỹ thuật cháy nhiên liệu lỏng </w:t>
            </w:r>
          </w:p>
          <w:p>
            <w:pPr>
              <w:spacing w:line="288" w:lineRule="auto"/>
              <w:ind w:hanging="87"/>
              <w:rPr>
                <w:b/>
                <w:sz w:val="26"/>
              </w:rPr>
            </w:pPr>
            <w:r>
              <w:rPr>
                <w:b/>
                <w:sz w:val="26"/>
              </w:rPr>
              <w:t>2.1</w:t>
            </w:r>
            <w:r>
              <w:rPr>
                <w:sz w:val="26"/>
              </w:rPr>
              <w:t xml:space="preserve"> Hóa sương dầu</w:t>
            </w:r>
          </w:p>
          <w:p>
            <w:pPr>
              <w:spacing w:line="288" w:lineRule="auto"/>
              <w:ind w:hanging="87"/>
              <w:rPr>
                <w:sz w:val="26"/>
              </w:rPr>
            </w:pPr>
            <w:r>
              <w:rPr>
                <w:sz w:val="26"/>
              </w:rPr>
              <w:t>2.2 Các quá trình cháy giọt dầu riêng biệt</w:t>
            </w:r>
          </w:p>
          <w:p>
            <w:pPr>
              <w:spacing w:line="288" w:lineRule="auto"/>
              <w:ind w:hanging="87"/>
              <w:rPr>
                <w:sz w:val="26"/>
              </w:rPr>
            </w:pPr>
            <w:r>
              <w:rPr>
                <w:sz w:val="26"/>
              </w:rPr>
              <w:t xml:space="preserve">2.3. Cháy đám sương trong ngọn lửa phun </w:t>
            </w:r>
          </w:p>
          <w:p>
            <w:pPr>
              <w:spacing w:line="288" w:lineRule="auto"/>
              <w:ind w:hanging="87"/>
              <w:rPr>
                <w:sz w:val="26"/>
              </w:rPr>
            </w:pPr>
            <w:r>
              <w:rPr>
                <w:sz w:val="26"/>
              </w:rPr>
              <w:t>2.4.Ổn định ngọn lửa</w:t>
            </w:r>
          </w:p>
          <w:p>
            <w:pPr>
              <w:spacing w:line="288" w:lineRule="auto"/>
              <w:ind w:hanging="87"/>
              <w:rPr>
                <w:sz w:val="26"/>
                <w:lang w:val="vi-VN"/>
              </w:rPr>
            </w:pPr>
            <w:r>
              <w:rPr>
                <w:sz w:val="26"/>
              </w:rPr>
              <w:t>2.5. Vòi</w:t>
            </w:r>
            <w:r>
              <w:rPr>
                <w:sz w:val="26"/>
                <w:lang w:val="vi-VN"/>
              </w:rPr>
              <w:t xml:space="preserve"> </w:t>
            </w:r>
            <w:r>
              <w:rPr>
                <w:sz w:val="26"/>
              </w:rPr>
              <w:t>phun</w:t>
            </w:r>
            <w:r>
              <w:rPr>
                <w:sz w:val="26"/>
                <w:lang w:val="vi-VN"/>
              </w:rPr>
              <w:t xml:space="preserve"> dầu </w:t>
            </w:r>
          </w:p>
        </w:tc>
        <w:tc>
          <w:tcPr>
            <w:tcW w:w="1589" w:type="dxa"/>
          </w:tcPr>
          <w:p>
            <w:pPr>
              <w:pStyle w:val="4"/>
              <w:spacing w:before="0"/>
              <w:rPr>
                <w:b w:val="0"/>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4"/>
              <w:spacing w:before="0"/>
              <w:rPr>
                <w:szCs w:val="24"/>
              </w:rPr>
            </w:pPr>
            <w:r>
              <w:rPr>
                <w:szCs w:val="24"/>
              </w:rPr>
              <w:t>III</w:t>
            </w:r>
          </w:p>
        </w:tc>
        <w:tc>
          <w:tcPr>
            <w:tcW w:w="6604" w:type="dxa"/>
          </w:tcPr>
          <w:p>
            <w:pPr>
              <w:spacing w:line="288" w:lineRule="auto"/>
              <w:rPr>
                <w:b/>
                <w:sz w:val="26"/>
              </w:rPr>
            </w:pPr>
            <w:r>
              <w:rPr>
                <w:b/>
                <w:sz w:val="26"/>
              </w:rPr>
              <w:t xml:space="preserve">Chương 3. Chuẩn bị bột than và kỹ thuật cháy than </w:t>
            </w:r>
          </w:p>
          <w:p>
            <w:pPr>
              <w:numPr>
                <w:ilvl w:val="1"/>
                <w:numId w:val="3"/>
              </w:numPr>
              <w:spacing w:line="288" w:lineRule="auto"/>
              <w:ind w:left="0"/>
              <w:contextualSpacing/>
              <w:jc w:val="both"/>
              <w:rPr>
                <w:sz w:val="26"/>
              </w:rPr>
            </w:pPr>
            <w:r>
              <w:rPr>
                <w:sz w:val="26"/>
              </w:rPr>
              <w:t>3.1. Nghiền than</w:t>
            </w:r>
          </w:p>
          <w:p>
            <w:pPr>
              <w:numPr>
                <w:ilvl w:val="1"/>
                <w:numId w:val="3"/>
              </w:numPr>
              <w:spacing w:line="288" w:lineRule="auto"/>
              <w:ind w:left="0" w:hanging="426"/>
              <w:contextualSpacing/>
              <w:jc w:val="both"/>
              <w:rPr>
                <w:sz w:val="26"/>
              </w:rPr>
            </w:pPr>
            <w:r>
              <w:rPr>
                <w:sz w:val="26"/>
              </w:rPr>
              <w:t xml:space="preserve">3.2. Các tính chất nhiệt-lý của bột than </w:t>
            </w:r>
          </w:p>
          <w:p>
            <w:pPr>
              <w:numPr>
                <w:ilvl w:val="1"/>
                <w:numId w:val="3"/>
              </w:numPr>
              <w:spacing w:line="288" w:lineRule="auto"/>
              <w:ind w:left="0" w:hanging="426"/>
              <w:contextualSpacing/>
              <w:rPr>
                <w:sz w:val="26"/>
              </w:rPr>
            </w:pPr>
            <w:r>
              <w:rPr>
                <w:sz w:val="26"/>
              </w:rPr>
              <w:t xml:space="preserve">3.3. Các hiện tượng lý-hóa trong quá trình cháy hạt than </w:t>
            </w:r>
          </w:p>
          <w:p>
            <w:pPr>
              <w:numPr>
                <w:ilvl w:val="2"/>
                <w:numId w:val="3"/>
              </w:numPr>
              <w:spacing w:line="288" w:lineRule="auto"/>
              <w:ind w:left="0" w:hanging="850"/>
              <w:contextualSpacing/>
              <w:rPr>
                <w:sz w:val="26"/>
              </w:rPr>
            </w:pPr>
            <w:r>
              <w:rPr>
                <w:sz w:val="26"/>
              </w:rPr>
              <w:t>3.4. Đặc điểm quá trình cháy than</w:t>
            </w:r>
          </w:p>
          <w:p>
            <w:pPr>
              <w:numPr>
                <w:ilvl w:val="2"/>
                <w:numId w:val="3"/>
              </w:numPr>
              <w:spacing w:line="288" w:lineRule="auto"/>
              <w:ind w:left="0" w:hanging="850"/>
              <w:contextualSpacing/>
              <w:rPr>
                <w:color w:val="000000"/>
                <w:sz w:val="26"/>
              </w:rPr>
            </w:pPr>
            <w:r>
              <w:rPr>
                <w:color w:val="000000"/>
                <w:sz w:val="26"/>
              </w:rPr>
              <w:t xml:space="preserve">3.5. Cháy các bon </w:t>
            </w:r>
          </w:p>
        </w:tc>
        <w:tc>
          <w:tcPr>
            <w:tcW w:w="1589" w:type="dxa"/>
          </w:tcPr>
          <w:p>
            <w:pPr>
              <w:pStyle w:val="4"/>
              <w:widowControl/>
              <w:numPr>
                <w:ilvl w:val="0"/>
                <w:numId w:val="3"/>
              </w:numPr>
              <w:autoSpaceDE/>
              <w:autoSpaceDN/>
              <w:spacing w:before="0" w:line="288" w:lineRule="auto"/>
              <w:ind w:left="0"/>
              <w:jc w:val="both"/>
              <w:rPr>
                <w:b w:val="0"/>
                <w:szCs w:val="24"/>
                <w:lang w:val="vi-VN"/>
              </w:rPr>
            </w:pPr>
          </w:p>
        </w:tc>
      </w:tr>
    </w:tbl>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60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4"/>
              <w:spacing w:before="120" w:after="120"/>
              <w:jc w:val="center"/>
              <w:rPr>
                <w:sz w:val="24"/>
                <w:szCs w:val="24"/>
                <w:lang w:val="vi-VN"/>
              </w:rPr>
            </w:pPr>
            <w:r>
              <w:rPr>
                <w:sz w:val="24"/>
                <w:szCs w:val="24"/>
                <w:lang w:val="vi-VN"/>
              </w:rPr>
              <w:t>STT</w:t>
            </w:r>
          </w:p>
        </w:tc>
        <w:tc>
          <w:tcPr>
            <w:tcW w:w="6604" w:type="dxa"/>
          </w:tcPr>
          <w:p>
            <w:pPr>
              <w:pStyle w:val="4"/>
              <w:spacing w:before="120" w:after="120"/>
              <w:jc w:val="center"/>
              <w:rPr>
                <w:sz w:val="24"/>
                <w:szCs w:val="24"/>
                <w:lang w:val="vi-VN"/>
              </w:rPr>
            </w:pPr>
            <w:r>
              <w:rPr>
                <w:sz w:val="24"/>
                <w:szCs w:val="24"/>
                <w:lang w:val="vi-VN"/>
              </w:rPr>
              <w:t>Nội dung</w:t>
            </w:r>
          </w:p>
        </w:tc>
        <w:tc>
          <w:tcPr>
            <w:tcW w:w="1589" w:type="dxa"/>
          </w:tcPr>
          <w:p>
            <w:pPr>
              <w:pStyle w:val="4"/>
              <w:spacing w:before="120" w:after="120"/>
              <w:jc w:val="center"/>
              <w:rPr>
                <w:sz w:val="24"/>
                <w:szCs w:val="24"/>
                <w:lang w:val="vi-VN"/>
              </w:rPr>
            </w:pPr>
            <w:r>
              <w:rPr>
                <w:sz w:val="24"/>
                <w:szCs w:val="24"/>
                <w:lang w:val="vi-VN"/>
              </w:rPr>
              <w:t>Thời lượng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4"/>
              <w:spacing w:before="0"/>
              <w:rPr>
                <w:szCs w:val="24"/>
              </w:rPr>
            </w:pPr>
            <w:r>
              <w:rPr>
                <w:szCs w:val="24"/>
              </w:rPr>
              <w:t>IV</w:t>
            </w:r>
          </w:p>
        </w:tc>
        <w:tc>
          <w:tcPr>
            <w:tcW w:w="6604" w:type="dxa"/>
          </w:tcPr>
          <w:p>
            <w:pPr>
              <w:numPr>
                <w:ilvl w:val="0"/>
                <w:numId w:val="4"/>
              </w:numPr>
              <w:spacing w:line="288" w:lineRule="auto"/>
              <w:ind w:left="0"/>
              <w:contextualSpacing/>
              <w:jc w:val="both"/>
              <w:rPr>
                <w:b/>
                <w:sz w:val="26"/>
              </w:rPr>
            </w:pPr>
            <w:r>
              <w:rPr>
                <w:b/>
                <w:sz w:val="26"/>
              </w:rPr>
              <w:t>Chương 4. Buồng đốt than W</w:t>
            </w:r>
          </w:p>
          <w:p>
            <w:pPr>
              <w:numPr>
                <w:ilvl w:val="2"/>
                <w:numId w:val="3"/>
              </w:numPr>
              <w:spacing w:line="288" w:lineRule="auto"/>
              <w:ind w:left="0" w:hanging="850"/>
              <w:contextualSpacing/>
              <w:rPr>
                <w:sz w:val="26"/>
              </w:rPr>
            </w:pPr>
            <w:r>
              <w:rPr>
                <w:color w:val="000000"/>
                <w:sz w:val="26"/>
              </w:rPr>
              <w:t>4.1. Buồng</w:t>
            </w:r>
            <w:r>
              <w:rPr>
                <w:sz w:val="26"/>
              </w:rPr>
              <w:t xml:space="preserve"> đốt W</w:t>
            </w:r>
          </w:p>
          <w:p>
            <w:pPr>
              <w:numPr>
                <w:ilvl w:val="2"/>
                <w:numId w:val="3"/>
              </w:numPr>
              <w:spacing w:line="288" w:lineRule="auto"/>
              <w:ind w:left="0" w:hanging="850"/>
              <w:contextualSpacing/>
              <w:rPr>
                <w:sz w:val="26"/>
              </w:rPr>
            </w:pPr>
            <w:r>
              <w:rPr>
                <w:sz w:val="26"/>
              </w:rPr>
              <w:t xml:space="preserve">4.2. Vòi </w:t>
            </w:r>
            <w:r>
              <w:rPr>
                <w:color w:val="000000"/>
                <w:sz w:val="26"/>
              </w:rPr>
              <w:t>phun</w:t>
            </w:r>
            <w:r>
              <w:rPr>
                <w:sz w:val="26"/>
              </w:rPr>
              <w:t xml:space="preserve"> bột than </w:t>
            </w:r>
            <w:r>
              <w:rPr>
                <w:sz w:val="26"/>
                <w:lang w:val="vi-VN"/>
              </w:rPr>
              <w:t>NO</w:t>
            </w:r>
            <w:r>
              <w:rPr>
                <w:sz w:val="26"/>
                <w:vertAlign w:val="subscript"/>
                <w:lang w:val="vi-VN"/>
              </w:rPr>
              <w:t>x</w:t>
            </w:r>
            <w:r>
              <w:rPr>
                <w:sz w:val="26"/>
                <w:lang w:val="vi-VN"/>
              </w:rPr>
              <w:t xml:space="preserve"> thấp</w:t>
            </w:r>
          </w:p>
        </w:tc>
        <w:tc>
          <w:tcPr>
            <w:tcW w:w="1589" w:type="dxa"/>
          </w:tcPr>
          <w:p>
            <w:pPr>
              <w:pStyle w:val="4"/>
              <w:spacing w:before="0"/>
              <w:rPr>
                <w:b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4"/>
              <w:spacing w:before="0"/>
              <w:rPr>
                <w:szCs w:val="24"/>
                <w:lang w:val="vi-VN"/>
              </w:rPr>
            </w:pPr>
            <w:r>
              <w:rPr>
                <w:szCs w:val="24"/>
              </w:rPr>
              <w:t>V</w:t>
            </w:r>
          </w:p>
        </w:tc>
        <w:tc>
          <w:tcPr>
            <w:tcW w:w="6604" w:type="dxa"/>
          </w:tcPr>
          <w:p>
            <w:pPr>
              <w:spacing w:line="288" w:lineRule="auto"/>
              <w:rPr>
                <w:sz w:val="26"/>
              </w:rPr>
            </w:pPr>
            <w:r>
              <w:rPr>
                <w:b/>
                <w:sz w:val="26"/>
              </w:rPr>
              <w:t>Chương 5. Cơ chế và biện pháp kỹ thuật giảm thiểu NOx , SOx</w:t>
            </w:r>
          </w:p>
          <w:p>
            <w:pPr>
              <w:pStyle w:val="4"/>
              <w:spacing w:before="0"/>
              <w:ind w:firstLine="9"/>
              <w:rPr>
                <w:b w:val="0"/>
                <w:szCs w:val="24"/>
              </w:rPr>
            </w:pPr>
            <w:r>
              <w:rPr>
                <w:b w:val="0"/>
                <w:szCs w:val="24"/>
              </w:rPr>
              <w:t>5.1. Cơ chế và biện pháp kỹ thuật giảm thiểu NOx</w:t>
            </w:r>
          </w:p>
          <w:p>
            <w:pPr>
              <w:pStyle w:val="4"/>
              <w:spacing w:before="0"/>
              <w:rPr>
                <w:szCs w:val="24"/>
                <w:lang w:val="en-GB"/>
              </w:rPr>
            </w:pPr>
            <w:r>
              <w:rPr>
                <w:b w:val="0"/>
                <w:szCs w:val="24"/>
              </w:rPr>
              <w:t>5.2. Cơ chế và biện pháp kỹ thuật Khử SOx</w:t>
            </w:r>
          </w:p>
        </w:tc>
        <w:tc>
          <w:tcPr>
            <w:tcW w:w="1589" w:type="dxa"/>
          </w:tcPr>
          <w:p>
            <w:pPr>
              <w:pStyle w:val="4"/>
              <w:widowControl/>
              <w:numPr>
                <w:ilvl w:val="0"/>
                <w:numId w:val="5"/>
              </w:numPr>
              <w:autoSpaceDE/>
              <w:autoSpaceDN/>
              <w:spacing w:before="0" w:line="288" w:lineRule="auto"/>
              <w:ind w:left="0"/>
              <w:jc w:val="both"/>
              <w:rPr>
                <w:b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4"/>
              <w:spacing w:before="0"/>
              <w:rPr>
                <w:szCs w:val="24"/>
              </w:rPr>
            </w:pPr>
            <w:r>
              <w:rPr>
                <w:szCs w:val="24"/>
              </w:rPr>
              <w:t>VI</w:t>
            </w:r>
          </w:p>
        </w:tc>
        <w:tc>
          <w:tcPr>
            <w:tcW w:w="6604" w:type="dxa"/>
          </w:tcPr>
          <w:p>
            <w:pPr>
              <w:pStyle w:val="4"/>
              <w:widowControl/>
              <w:numPr>
                <w:ilvl w:val="0"/>
                <w:numId w:val="6"/>
              </w:numPr>
              <w:autoSpaceDE/>
              <w:autoSpaceDN/>
              <w:spacing w:before="0" w:line="288" w:lineRule="auto"/>
              <w:ind w:left="0"/>
              <w:jc w:val="both"/>
              <w:rPr>
                <w:szCs w:val="24"/>
                <w:lang w:val="en-GB"/>
              </w:rPr>
            </w:pPr>
            <w:r>
              <w:rPr>
                <w:color w:val="000000"/>
                <w:szCs w:val="24"/>
              </w:rPr>
              <w:t xml:space="preserve">Chương 6. Biện pháp phòng ngừa sự cố buồng đốt và vòi phun dầu     </w:t>
            </w:r>
          </w:p>
        </w:tc>
        <w:tc>
          <w:tcPr>
            <w:tcW w:w="1589" w:type="dxa"/>
          </w:tcPr>
          <w:p>
            <w:pPr>
              <w:pStyle w:val="4"/>
              <w:spacing w:before="0"/>
              <w:rPr>
                <w:b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4"/>
              <w:spacing w:before="0"/>
              <w:rPr>
                <w:sz w:val="24"/>
                <w:szCs w:val="24"/>
              </w:rPr>
            </w:pPr>
            <w:r>
              <w:rPr>
                <w:sz w:val="24"/>
                <w:szCs w:val="24"/>
              </w:rPr>
              <w:t>VII</w:t>
            </w:r>
          </w:p>
        </w:tc>
        <w:tc>
          <w:tcPr>
            <w:tcW w:w="6604" w:type="dxa"/>
          </w:tcPr>
          <w:p>
            <w:pPr>
              <w:pStyle w:val="4"/>
              <w:widowControl/>
              <w:numPr>
                <w:ilvl w:val="0"/>
                <w:numId w:val="6"/>
              </w:numPr>
              <w:autoSpaceDE/>
              <w:autoSpaceDN/>
              <w:spacing w:before="0" w:line="288" w:lineRule="auto"/>
              <w:ind w:left="0"/>
              <w:jc w:val="both"/>
              <w:rPr>
                <w:color w:val="000000"/>
                <w:sz w:val="24"/>
                <w:szCs w:val="24"/>
              </w:rPr>
            </w:pPr>
            <w:r>
              <w:rPr>
                <w:color w:val="FF0000"/>
                <w:sz w:val="24"/>
                <w:lang w:val="en-US"/>
              </w:rPr>
              <w:t>GIẢI ĐÁP THẮC MẮC VÀ KIỂM TRA CUỐI KHÓA</w:t>
            </w:r>
          </w:p>
        </w:tc>
        <w:tc>
          <w:tcPr>
            <w:tcW w:w="1589" w:type="dxa"/>
          </w:tcPr>
          <w:p>
            <w:pPr>
              <w:pStyle w:val="4"/>
              <w:spacing w:before="0"/>
              <w:rPr>
                <w:b w:val="0"/>
                <w:sz w:val="24"/>
                <w:szCs w:val="24"/>
              </w:rPr>
            </w:pPr>
          </w:p>
        </w:tc>
      </w:tr>
    </w:tbl>
    <w:p>
      <w:pPr>
        <w:spacing w:before="40" w:after="40" w:line="400" w:lineRule="exact"/>
        <w:ind w:firstLine="706"/>
        <w:jc w:val="both"/>
        <w:rPr>
          <w:color w:val="00B050"/>
          <w:spacing w:val="-10"/>
          <w:sz w:val="28"/>
          <w:szCs w:val="28"/>
        </w:rPr>
      </w:pPr>
    </w:p>
    <w:p>
      <w:pPr>
        <w:spacing w:before="40" w:after="40" w:line="400" w:lineRule="exact"/>
        <w:ind w:firstLine="706"/>
        <w:jc w:val="both"/>
        <w:rPr>
          <w:color w:val="00B050"/>
          <w:spacing w:val="-10"/>
          <w:sz w:val="28"/>
          <w:szCs w:val="28"/>
        </w:rPr>
      </w:pPr>
    </w:p>
    <w:sectPr>
      <w:footerReference r:id="rId5" w:type="default"/>
      <w:pgSz w:w="11909" w:h="16834"/>
      <w:pgMar w:top="1008" w:right="1008" w:bottom="1008" w:left="1440"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panose1 w:val="020F0502020204030204"/>
    <w:charset w:val="00"/>
    <w:family w:val="auto"/>
    <w:pitch w:val="default"/>
    <w:sig w:usb0="00000000" w:usb1="00000000" w:usb2="00000000" w:usb3="00000000" w:csb0="00000000" w:csb1="00000000"/>
  </w:font>
  <w:font w:name="Verdana">
    <w:panose1 w:val="020B0604030504040204"/>
    <w:charset w:val="00"/>
    <w:family w:val="swiss"/>
    <w:pitch w:val="default"/>
    <w:sig w:usb0="00000000" w:usb1="00000000" w:usb2="00000000" w:usb3="00000000" w:csb0="00000000" w:csb1="00000000"/>
  </w:font>
  <w:font w:name="Hiragino Sans GB">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206999"/>
      <w:docPartObj>
        <w:docPartGallery w:val="AutoText"/>
      </w:docPartObj>
    </w:sdtPr>
    <w:sdtContent>
      <w:p>
        <w:pPr>
          <w:pStyle w:val="5"/>
          <w:jc w:val="center"/>
        </w:pPr>
        <w:r>
          <w:fldChar w:fldCharType="begin"/>
        </w:r>
        <w:r>
          <w:instrText xml:space="preserve"> PAGE   \* MERGEFORMAT </w:instrText>
        </w:r>
        <w:r>
          <w:fldChar w:fldCharType="separate"/>
        </w:r>
        <w: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1040D"/>
    <w:multiLevelType w:val="multilevel"/>
    <w:tmpl w:val="0341040D"/>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74B6FB1"/>
    <w:multiLevelType w:val="multilevel"/>
    <w:tmpl w:val="074B6FB1"/>
    <w:lvl w:ilvl="0" w:tentative="0">
      <w:start w:val="4"/>
      <w:numFmt w:val="decimal"/>
      <w:lvlText w:val="%1."/>
      <w:lvlJc w:val="left"/>
      <w:pPr>
        <w:ind w:left="72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abstractNum w:abstractNumId="2">
    <w:nsid w:val="0AF74A60"/>
    <w:multiLevelType w:val="multilevel"/>
    <w:tmpl w:val="0AF74A6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625001B"/>
    <w:multiLevelType w:val="multilevel"/>
    <w:tmpl w:val="5625001B"/>
    <w:lvl w:ilvl="0" w:tentative="0">
      <w:start w:val="1"/>
      <w:numFmt w:val="decimal"/>
      <w:lvlText w:val="%1."/>
      <w:lvlJc w:val="left"/>
      <w:pPr>
        <w:ind w:left="390" w:hanging="390"/>
      </w:pPr>
      <w:rPr>
        <w:rFonts w:hint="default"/>
      </w:rPr>
    </w:lvl>
    <w:lvl w:ilvl="1" w:tentative="0">
      <w:start w:val="1"/>
      <w:numFmt w:val="decimal"/>
      <w:lvlText w:val="%1.%2."/>
      <w:lvlJc w:val="left"/>
      <w:pPr>
        <w:ind w:left="1004" w:hanging="720"/>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932" w:hanging="108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860" w:hanging="144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788" w:hanging="1800"/>
      </w:pPr>
      <w:rPr>
        <w:rFonts w:hint="default"/>
      </w:rPr>
    </w:lvl>
    <w:lvl w:ilvl="8" w:tentative="0">
      <w:start w:val="1"/>
      <w:numFmt w:val="decimal"/>
      <w:lvlText w:val="%1.%2.%3.%4.%5.%6.%7.%8.%9."/>
      <w:lvlJc w:val="left"/>
      <w:pPr>
        <w:ind w:left="4072" w:hanging="1800"/>
      </w:pPr>
      <w:rPr>
        <w:rFonts w:hint="default"/>
      </w:rPr>
    </w:lvl>
  </w:abstractNum>
  <w:abstractNum w:abstractNumId="4">
    <w:nsid w:val="63C834CE"/>
    <w:multiLevelType w:val="multilevel"/>
    <w:tmpl w:val="63C834CE"/>
    <w:lvl w:ilvl="0" w:tentative="0">
      <w:start w:val="3"/>
      <w:numFmt w:val="decimal"/>
      <w:lvlText w:val="%1"/>
      <w:lvlJc w:val="left"/>
      <w:pPr>
        <w:ind w:left="360" w:hanging="360"/>
      </w:pPr>
      <w:rPr>
        <w:rFonts w:hint="default"/>
      </w:rPr>
    </w:lvl>
    <w:lvl w:ilvl="1" w:tentative="0">
      <w:start w:val="1"/>
      <w:numFmt w:val="decimal"/>
      <w:lvlText w:val="%1.%2"/>
      <w:lvlJc w:val="left"/>
      <w:pPr>
        <w:ind w:left="1636" w:hanging="360"/>
      </w:pPr>
      <w:rPr>
        <w:rFonts w:hint="default"/>
      </w:rPr>
    </w:lvl>
    <w:lvl w:ilvl="2" w:tentative="0">
      <w:start w:val="1"/>
      <w:numFmt w:val="decimal"/>
      <w:lvlText w:val="%1.%2.%3"/>
      <w:lvlJc w:val="left"/>
      <w:pPr>
        <w:ind w:left="2728" w:hanging="720"/>
      </w:pPr>
      <w:rPr>
        <w:rFonts w:hint="default"/>
      </w:rPr>
    </w:lvl>
    <w:lvl w:ilvl="3" w:tentative="0">
      <w:start w:val="1"/>
      <w:numFmt w:val="decimal"/>
      <w:lvlText w:val="%1.%2.%3.%4"/>
      <w:lvlJc w:val="left"/>
      <w:pPr>
        <w:ind w:left="3732" w:hanging="720"/>
      </w:pPr>
      <w:rPr>
        <w:rFonts w:hint="default"/>
      </w:rPr>
    </w:lvl>
    <w:lvl w:ilvl="4" w:tentative="0">
      <w:start w:val="1"/>
      <w:numFmt w:val="decimal"/>
      <w:lvlText w:val="%1.%2.%3.%4.%5"/>
      <w:lvlJc w:val="left"/>
      <w:pPr>
        <w:ind w:left="5096" w:hanging="1080"/>
      </w:pPr>
      <w:rPr>
        <w:rFonts w:hint="default"/>
      </w:rPr>
    </w:lvl>
    <w:lvl w:ilvl="5" w:tentative="0">
      <w:start w:val="1"/>
      <w:numFmt w:val="decimal"/>
      <w:lvlText w:val="%1.%2.%3.%4.%5.%6"/>
      <w:lvlJc w:val="left"/>
      <w:pPr>
        <w:ind w:left="6100" w:hanging="1080"/>
      </w:pPr>
      <w:rPr>
        <w:rFonts w:hint="default"/>
      </w:rPr>
    </w:lvl>
    <w:lvl w:ilvl="6" w:tentative="0">
      <w:start w:val="1"/>
      <w:numFmt w:val="decimal"/>
      <w:lvlText w:val="%1.%2.%3.%4.%5.%6.%7"/>
      <w:lvlJc w:val="left"/>
      <w:pPr>
        <w:ind w:left="7464" w:hanging="1440"/>
      </w:pPr>
      <w:rPr>
        <w:rFonts w:hint="default"/>
      </w:rPr>
    </w:lvl>
    <w:lvl w:ilvl="7" w:tentative="0">
      <w:start w:val="1"/>
      <w:numFmt w:val="decimal"/>
      <w:lvlText w:val="%1.%2.%3.%4.%5.%6.%7.%8"/>
      <w:lvlJc w:val="left"/>
      <w:pPr>
        <w:ind w:left="8468" w:hanging="1440"/>
      </w:pPr>
      <w:rPr>
        <w:rFonts w:hint="default"/>
      </w:rPr>
    </w:lvl>
    <w:lvl w:ilvl="8" w:tentative="0">
      <w:start w:val="1"/>
      <w:numFmt w:val="decimal"/>
      <w:lvlText w:val="%1.%2.%3.%4.%5.%6.%7.%8.%9"/>
      <w:lvlJc w:val="left"/>
      <w:pPr>
        <w:ind w:left="9832" w:hanging="1800"/>
      </w:pPr>
      <w:rPr>
        <w:rFonts w:hint="default"/>
      </w:rPr>
    </w:lvl>
  </w:abstractNum>
  <w:abstractNum w:abstractNumId="5">
    <w:nsid w:val="6F5B4C12"/>
    <w:multiLevelType w:val="multilevel"/>
    <w:tmpl w:val="6F5B4C12"/>
    <w:lvl w:ilvl="0" w:tentative="0">
      <w:start w:val="6"/>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BD"/>
    <w:rsid w:val="00077987"/>
    <w:rsid w:val="00097E64"/>
    <w:rsid w:val="000A6A81"/>
    <w:rsid w:val="00192E53"/>
    <w:rsid w:val="001B35D6"/>
    <w:rsid w:val="001F35CC"/>
    <w:rsid w:val="003D66F1"/>
    <w:rsid w:val="003E7641"/>
    <w:rsid w:val="00491A6A"/>
    <w:rsid w:val="004B2A58"/>
    <w:rsid w:val="004C1ABD"/>
    <w:rsid w:val="005A7ECA"/>
    <w:rsid w:val="00602587"/>
    <w:rsid w:val="00635239"/>
    <w:rsid w:val="0070646E"/>
    <w:rsid w:val="00745BC9"/>
    <w:rsid w:val="00840F0B"/>
    <w:rsid w:val="00935103"/>
    <w:rsid w:val="0099026F"/>
    <w:rsid w:val="00A6468E"/>
    <w:rsid w:val="00B14668"/>
    <w:rsid w:val="00B347EC"/>
    <w:rsid w:val="00B57038"/>
    <w:rsid w:val="00C04B9D"/>
    <w:rsid w:val="00C55D02"/>
    <w:rsid w:val="00D34314"/>
    <w:rsid w:val="00E823BC"/>
    <w:rsid w:val="00EE0E26"/>
    <w:rsid w:val="00EF722D"/>
    <w:rsid w:val="00F24E67"/>
    <w:rsid w:val="00F301B2"/>
    <w:rsid w:val="00F73225"/>
    <w:rsid w:val="00FD6A12"/>
    <w:rsid w:val="FFBBF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3"/>
    <w:qFormat/>
    <w:uiPriority w:val="1"/>
    <w:pPr>
      <w:widowControl w:val="0"/>
      <w:autoSpaceDE w:val="0"/>
      <w:autoSpaceDN w:val="0"/>
      <w:spacing w:before="2"/>
    </w:pPr>
    <w:rPr>
      <w:b/>
      <w:bCs/>
      <w:sz w:val="26"/>
      <w:szCs w:val="26"/>
      <w:lang w:val="vi"/>
    </w:rPr>
  </w:style>
  <w:style w:type="paragraph" w:styleId="5">
    <w:name w:val="footer"/>
    <w:basedOn w:val="1"/>
    <w:link w:val="15"/>
    <w:unhideWhenUsed/>
    <w:qFormat/>
    <w:uiPriority w:val="99"/>
    <w:pPr>
      <w:tabs>
        <w:tab w:val="center" w:pos="4680"/>
        <w:tab w:val="right" w:pos="9360"/>
      </w:tabs>
    </w:pPr>
  </w:style>
  <w:style w:type="paragraph" w:styleId="6">
    <w:name w:val="header"/>
    <w:basedOn w:val="1"/>
    <w:link w:val="10"/>
    <w:qFormat/>
    <w:uiPriority w:val="0"/>
    <w:pPr>
      <w:tabs>
        <w:tab w:val="center" w:pos="4320"/>
        <w:tab w:val="right" w:pos="8640"/>
      </w:tabs>
    </w:pPr>
    <w:rPr>
      <w:lang w:val="zh-CN" w:eastAsia="zh-CN"/>
    </w:rPr>
  </w:style>
  <w:style w:type="character" w:styleId="7">
    <w:name w:val="Hyperlink"/>
    <w:unhideWhenUsed/>
    <w:uiPriority w:val="99"/>
    <w:rPr>
      <w:color w:val="0000FF"/>
      <w:u w:val="single"/>
    </w:rPr>
  </w:style>
  <w:style w:type="table" w:styleId="8">
    <w:name w:val="Table Grid"/>
    <w:basedOn w:val="3"/>
    <w:qFormat/>
    <w:uiPriority w:val="39"/>
    <w:pPr>
      <w:widowControl w:val="0"/>
      <w:autoSpaceDE w:val="0"/>
      <w:autoSpaceDN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_0020table__char"/>
    <w:uiPriority w:val="0"/>
  </w:style>
  <w:style w:type="character" w:customStyle="1" w:styleId="10">
    <w:name w:val="Header Char"/>
    <w:basedOn w:val="2"/>
    <w:link w:val="6"/>
    <w:uiPriority w:val="0"/>
    <w:rPr>
      <w:rFonts w:ascii="Times New Roman" w:hAnsi="Times New Roman" w:eastAsia="Times New Roman" w:cs="Times New Roman"/>
      <w:sz w:val="24"/>
      <w:szCs w:val="24"/>
      <w:lang w:val="zh-CN" w:eastAsia="zh-CN"/>
    </w:rPr>
  </w:style>
  <w:style w:type="paragraph" w:styleId="11">
    <w:name w:val="No Spacing"/>
    <w:qFormat/>
    <w:uiPriority w:val="1"/>
    <w:pPr>
      <w:spacing w:after="0" w:line="240" w:lineRule="auto"/>
    </w:pPr>
    <w:rPr>
      <w:rFonts w:ascii="Times New Roman" w:hAnsi="Times New Roman" w:eastAsia="Calibri" w:cs="Times New Roman"/>
      <w:sz w:val="28"/>
      <w:szCs w:val="28"/>
      <w:lang w:val="en-US" w:eastAsia="en-US" w:bidi="ar-SA"/>
    </w:rPr>
  </w:style>
  <w:style w:type="paragraph" w:customStyle="1" w:styleId="12">
    <w:name w:val="Default"/>
    <w:qFormat/>
    <w:uiPriority w:val="0"/>
    <w:pPr>
      <w:widowControl w:val="0"/>
      <w:autoSpaceDE w:val="0"/>
      <w:autoSpaceDN w:val="0"/>
      <w:adjustRightInd w:val="0"/>
      <w:spacing w:after="0" w:line="240" w:lineRule="auto"/>
    </w:pPr>
    <w:rPr>
      <w:rFonts w:ascii="Verdana" w:hAnsi="Verdana" w:eastAsia="Times New Roman" w:cs="Verdana"/>
      <w:color w:val="000000"/>
      <w:sz w:val="24"/>
      <w:szCs w:val="24"/>
      <w:lang w:val="en-US" w:eastAsia="en-US" w:bidi="ar-SA"/>
    </w:rPr>
  </w:style>
  <w:style w:type="character" w:customStyle="1" w:styleId="13">
    <w:name w:val="Body Text Char"/>
    <w:basedOn w:val="2"/>
    <w:link w:val="4"/>
    <w:qFormat/>
    <w:uiPriority w:val="1"/>
    <w:rPr>
      <w:rFonts w:ascii="Times New Roman" w:hAnsi="Times New Roman" w:eastAsia="Times New Roman" w:cs="Times New Roman"/>
      <w:b/>
      <w:bCs/>
      <w:sz w:val="26"/>
      <w:szCs w:val="26"/>
      <w:lang w:val="vi"/>
    </w:rPr>
  </w:style>
  <w:style w:type="paragraph" w:customStyle="1" w:styleId="14">
    <w:name w:val="Table Paragraph"/>
    <w:basedOn w:val="1"/>
    <w:qFormat/>
    <w:uiPriority w:val="1"/>
    <w:pPr>
      <w:widowControl w:val="0"/>
      <w:autoSpaceDE w:val="0"/>
      <w:autoSpaceDN w:val="0"/>
      <w:ind w:left="450"/>
    </w:pPr>
    <w:rPr>
      <w:sz w:val="22"/>
      <w:szCs w:val="22"/>
      <w:lang w:val="vi"/>
    </w:rPr>
  </w:style>
  <w:style w:type="character" w:customStyle="1" w:styleId="15">
    <w:name w:val="Footer Char"/>
    <w:basedOn w:val="2"/>
    <w:link w:val="5"/>
    <w:qFormat/>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257</Words>
  <Characters>1470</Characters>
  <Lines>12</Lines>
  <Paragraphs>3</Paragraphs>
  <TotalTime>420</TotalTime>
  <ScaleCrop>false</ScaleCrop>
  <LinksUpToDate>false</LinksUpToDate>
  <CharactersWithSpaces>1724</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2024-07-11T18:14:00Z</dcterms:created>
  <dc:creator>Hop Ta Thi Bich</dc:creator>
  <cp:lastModifiedBy>Thaitp0999</cp:lastModifiedBy>
  <dcterms:modified xsi:type="dcterms:W3CDTF">2024-07-29T08:34:34Z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